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1 OF 4 · VALIDATE THE NEED</w:t>
      </w:r>
    </w:p>
    <w:p>
      <w:pPr>
        <w:spacing w:after="40"/>
      </w:pPr>
      <w:r>
        <w:rPr>
          <w:b/>
          <w:color w:val="1F2D3D"/>
          <w:sz w:val="40"/>
        </w:rPr>
        <w:t>Strategic Fit Check</w:t>
      </w:r>
    </w:p>
    <w:p>
      <w:pPr>
        <w:spacing w:after="240"/>
      </w:pPr>
      <w:r>
        <w:rPr>
          <w:i/>
          <w:color w:val="B8862E"/>
          <w:sz w:val="24"/>
        </w:rPr>
        <w:t>Phase 1 — Validate the Need (Gate 1: Need Validated)</w:t>
      </w:r>
    </w:p>
    <w:p>
      <w:pPr>
        <w:spacing w:after="160"/>
      </w:pPr>
      <w:r>
        <w:rPr>
          <w:b w:val="0"/>
          <w:i w:val="0"/>
          <w:sz w:val="19"/>
        </w:rPr>
        <w:t>Confirms the project is worth pursuing on business grounds before any planning money is spent.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6192"/>
      </w:tblGrid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Named Company Strategy / Initiative This Supports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What Happens If This Is NOT Done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The cost of inaction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Reviewed By (Name &amp; Position)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