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1 OF 4 · VALIDATE THE NEED</w:t>
      </w:r>
    </w:p>
    <w:p>
      <w:pPr>
        <w:spacing w:after="40"/>
      </w:pPr>
      <w:r>
        <w:rPr>
          <w:b/>
          <w:color w:val="1F2D3D"/>
          <w:sz w:val="40"/>
        </w:rPr>
        <w:t>Rough-Order Budget Range Worksheet</w:t>
      </w:r>
    </w:p>
    <w:p>
      <w:pPr>
        <w:spacing w:after="240"/>
      </w:pPr>
      <w:r>
        <w:rPr>
          <w:i/>
          <w:color w:val="B8862E"/>
          <w:sz w:val="24"/>
        </w:rPr>
        <w:t>Phase 1 — Validate the Need (Gate 1: Need Validated)</w:t>
      </w:r>
    </w:p>
    <w:p>
      <w:pPr>
        <w:spacing w:after="160"/>
      </w:pPr>
      <w:r>
        <w:rPr>
          <w:b w:val="0"/>
          <w:i w:val="0"/>
          <w:sz w:val="19"/>
        </w:rPr>
        <w:t>A wide, honest range, not a firm number. This range tells you how much planning rigor Phase 2 deserves.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Low-End Estimate ($)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High-End Estimate ($)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Basis For This Range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Comparable project, rule-of-thumb $/sq ft, vendor budgetary quote, etc.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Confidence Level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Rough Guess / Order-of-Magnitude / Budgetary Quote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Prepared By /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