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1 OF 4 · VALIDATE THE NEED</w:t>
      </w:r>
    </w:p>
    <w:p>
      <w:pPr>
        <w:spacing w:after="40"/>
      </w:pPr>
      <w:r>
        <w:rPr>
          <w:b/>
          <w:color w:val="1F2D3D"/>
          <w:sz w:val="40"/>
        </w:rPr>
        <w:t>Phase 1 Facilitator Guide</w:t>
      </w:r>
    </w:p>
    <w:p>
      <w:pPr>
        <w:spacing w:after="240"/>
      </w:pPr>
      <w:r>
        <w:rPr>
          <w:i/>
          <w:color w:val="B8862E"/>
          <w:sz w:val="24"/>
        </w:rPr>
        <w:t>Validate the Need — Steps &amp; Forms</w:t>
      </w:r>
    </w:p>
    <w:p>
      <w:pPr>
        <w:spacing w:after="160"/>
      </w:pPr>
      <w:r>
        <w:rPr>
          <w:b w:val="0"/>
          <w:i w:val="0"/>
          <w:sz w:val="19"/>
        </w:rPr>
        <w:t>A standalone companion to the Facility Readiness Framework (FRF), for whoever is facilitating this phase on a real project.</w:t>
      </w:r>
    </w:p>
    <w:p>
      <w:pPr>
        <w:spacing w:after="160"/>
      </w:pPr>
      <w:r>
        <w:rPr>
          <w:b w:val="0"/>
          <w:i w:val="0"/>
          <w:sz w:val="21"/>
        </w:rPr>
        <w:t>This is the working document for actually running Phase 1 — Gate 1: Need Validated — the first of the Facility Readiness Framework's four phases. It's meant to be printed or kept open and used directly, not just read once.</w:t>
      </w:r>
    </w:p>
    <w:p>
      <w:pPr>
        <w:spacing w:after="160"/>
      </w:pPr>
      <w:r>
        <w:rPr>
          <w:b w:val="0"/>
          <w:i w:val="0"/>
          <w:sz w:val="21"/>
        </w:rPr>
        <w:t>This isn't just a set of blank forms — it's a guide for actually running Phase 1, written for whoever is facilitating it. Follow the seven steps below in order, using the five forms as the record of what you found at each step. Done properly, Phase 1 takes days, not weeks. If any step below turns out to be genuinely hard to complete, that's not a paperwork problem — it's telling you the project isn't actually ready to leave Phase 1 yet.</w:t>
      </w:r>
    </w:p>
    <w:p>
      <w:pPr>
        <w:spacing w:after="160"/>
      </w:pPr>
      <w:r>
        <w:rPr>
          <w:b w:val="0"/>
          <w:i w:val="0"/>
          <w:sz w:val="21"/>
        </w:rPr>
        <w:t>Gate 1 confirms the Business Case &amp; Funding Clarity and Stakeholder Governance &amp; Decision Rights categories of the Facility Readiness Score (20 of its 100 points) — but the score itself is not run until the end of Phase 3, once the categories that depend on later-phase work actually have something to score. This is a go/no-go decision, not a numeric one; there is no passing score at Gate 1.</w:t>
      </w:r>
    </w:p>
    <w:p>
      <w:pPr>
        <w:spacing w:before="280" w:after="120"/>
        <w:pBdr>
          <w:bottom w:val="single" w:sz="6" w:space="2" w:color="B8862E"/>
        </w:pBdr>
      </w:pPr>
      <w:r>
        <w:rPr>
          <w:b/>
          <w:color w:val="1F2D3D"/>
          <w:sz w:val="26"/>
        </w:rPr>
        <w:t>Gate 1 at a Glance</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1</w:t>
            </w:r>
          </w:p>
          <w:p>
            <w:pPr>
              <w:spacing w:after="40"/>
            </w:pPr>
            <w:r>
              <w:rPr>
                <w:b/>
                <w:i w:val="0"/>
                <w:sz w:val="20"/>
              </w:rPr>
              <w:t>Need Validated</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ACCOUNTABLE</w:t>
            </w:r>
          </w:p>
          <w:p>
            <w:pPr>
              <w:spacing w:after="40"/>
            </w:pPr>
            <w:r>
              <w:rPr>
                <w:b/>
                <w:i w:val="0"/>
                <w:sz w:val="20"/>
              </w:rPr>
              <w:t>The executive sponsor — CFO, superintendent, city manager, VP of Facilities, whatever the title is in your organization. This is the person who can fund the next phase or kill the project outright.</w:t>
            </w:r>
          </w:p>
        </w:tc>
      </w:tr>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QUESTION</w:t>
            </w:r>
          </w:p>
          <w:p>
            <w:pPr>
              <w:spacing w:after="40"/>
            </w:pPr>
            <w:r>
              <w:rPr>
                <w:b w:val="0"/>
                <w:i w:val="0"/>
                <w:sz w:val="20"/>
              </w:rPr>
              <w:t>Does leadership agree this is worth spending real planning money on?</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WHAT ACTUALLY GETS SKIPPED</w:t>
            </w:r>
          </w:p>
          <w:p>
            <w:pPr>
              <w:spacing w:after="40"/>
            </w:pPr>
            <w:r>
              <w:rPr>
                <w:b w:val="0"/>
                <w:i w:val="0"/>
                <w:sz w:val="20"/>
              </w:rPr>
              <w:t>It rarely looks like skipped approval — most projects get some kind of sign-off. What actually gets skipped is the written record: no documented problem statement, no single named sponsor, just momentum and a budget line. Scope grows later because nobody can point back to what the project was actually funded to solve.</w:t>
            </w:r>
          </w:p>
        </w:tc>
      </w:tr>
    </w:tbl>
    <w:p>
      <w:pPr>
        <w:spacing w:after="80"/>
      </w:pPr>
    </w:p>
    <w:p>
      <w:pPr>
        <w:spacing w:before="280" w:after="120"/>
        <w:pBdr>
          <w:bottom w:val="single" w:sz="6" w:space="2" w:color="B8862E"/>
        </w:pBdr>
      </w:pPr>
      <w:r>
        <w:rPr>
          <w:b/>
          <w:color w:val="1F2D3D"/>
          <w:sz w:val="26"/>
        </w:rPr>
        <w:t>How to Run This Phase, Step by Step</w:t>
      </w:r>
    </w:p>
    <w:p>
      <w:pPr>
        <w:spacing w:before="200"/>
      </w:pPr>
      <w:r>
        <w:rPr>
          <w:b/>
          <w:i w:val="0"/>
          <w:sz w:val="22"/>
        </w:rPr>
        <w:t>Step 1 — Find out who's raising the problem, and talk to them directly.</w:t>
      </w:r>
    </w:p>
    <w:p>
      <w:pPr>
        <w:spacing w:after="160"/>
      </w:pPr>
      <w:r>
        <w:rPr>
          <w:b w:val="0"/>
          <w:i w:val="0"/>
          <w:sz w:val="20"/>
        </w:rPr>
        <w:t>Schedule 30-45 minutes with the person or department raising the issue, plus their direct manager. Don't rely on a written request or a hallway summary — sit down and ask.</w:t>
      </w:r>
    </w:p>
    <w:p>
      <w:pPr>
        <w:spacing w:before="200"/>
      </w:pPr>
      <w:r>
        <w:rPr>
          <w:b/>
          <w:i w:val="0"/>
          <w:sz w:val="22"/>
        </w:rPr>
        <w:t>Step 2 — Get the problem in writing, in measurable terms.</w:t>
      </w:r>
    </w:p>
    <w:p>
      <w:pPr>
        <w:spacing w:after="160"/>
      </w:pPr>
      <w:r>
        <w:rPr>
          <w:b w:val="0"/>
          <w:i w:val="0"/>
          <w:sz w:val="20"/>
        </w:rPr>
        <w:t>Ask: "Walk me through what's happening today. What is this costing you — in downtime, missed orders, safety incidents, capacity you can't use? How long has this been going on, and what made you raise it now?" Push past adjectives ("it's really bad") to numbers. Fill out the Problem Statement form as you go, not from memory afterward.</w:t>
      </w:r>
    </w:p>
    <w:p>
      <w:r>
        <w:rPr>
          <w:i/>
          <w:color w:val="1F2D3D"/>
          <w:sz w:val="18"/>
        </w:rPr>
        <w:t>→ Produces: Problem Statement</w:t>
      </w:r>
    </w:p>
    <w:p>
      <w:pPr>
        <w:spacing w:before="200"/>
      </w:pPr>
      <w:r>
        <w:rPr>
          <w:b/>
          <w:i w:val="0"/>
          <w:sz w:val="22"/>
        </w:rPr>
        <w:t>Step 3 — Get independent confirmation the problem is real.</w:t>
      </w:r>
    </w:p>
    <w:p>
      <w:pPr>
        <w:spacing w:after="160"/>
      </w:pPr>
      <w:r>
        <w:rPr>
          <w:b w:val="0"/>
          <w:i w:val="0"/>
          <w:sz w:val="20"/>
        </w:rPr>
        <w:t>Find at least one person outside the requesting department — their boss, a peer director, a plant manager — who can independently say this is real. This is the single best protection against spending Phase 2 effort on one department's pet project. Record who confirmed it on the Problem Statement form.</w:t>
      </w:r>
    </w:p>
    <w:p>
      <w:r>
        <w:rPr>
          <w:i/>
          <w:color w:val="1F2D3D"/>
          <w:sz w:val="18"/>
        </w:rPr>
        <w:t>→ Produces: Problem Statement</w:t>
      </w:r>
    </w:p>
    <w:p>
      <w:pPr>
        <w:spacing w:before="200"/>
      </w:pPr>
      <w:r>
        <w:rPr>
          <w:b/>
          <w:i w:val="0"/>
          <w:sz w:val="22"/>
        </w:rPr>
        <w:t>Step 4 — Bracket a rough-order budget range.</w:t>
      </w:r>
    </w:p>
    <w:p>
      <w:pPr>
        <w:spacing w:after="160"/>
      </w:pPr>
      <w:r>
        <w:rPr>
          <w:b w:val="0"/>
          <w:i w:val="0"/>
          <w:sz w:val="20"/>
        </w:rPr>
        <w:t>You are not pricing the project — you're bracketing it. Use a comparable past project, a quick call to a contractor or vendor for a budgetary number, or a $/sq ft rule of thumb for this facility type. Keep the range wide on purpose; a narrow range this early just means someone is guessing with false confidence. Record it on the Rough-Order Budget Range Worksheet.</w:t>
      </w:r>
    </w:p>
    <w:p>
      <w:r>
        <w:rPr>
          <w:i/>
          <w:color w:val="1F2D3D"/>
          <w:sz w:val="18"/>
        </w:rPr>
        <w:t>→ Produces: Rough-Order Budget Range Worksheet</w:t>
      </w:r>
    </w:p>
    <w:p>
      <w:pPr>
        <w:spacing w:before="200"/>
      </w:pPr>
      <w:r>
        <w:rPr>
          <w:b/>
          <w:i w:val="0"/>
          <w:sz w:val="22"/>
        </w:rPr>
        <w:t>Step 5 — Check strategic fit.</w:t>
      </w:r>
    </w:p>
    <w:p>
      <w:pPr>
        <w:spacing w:after="160"/>
      </w:pPr>
      <w:r>
        <w:rPr>
          <w:b w:val="0"/>
          <w:i w:val="0"/>
          <w:sz w:val="20"/>
        </w:rPr>
        <w:t>Take the problem statement and budget range to whoever owns strategy — sometimes the same person as the eventual sponsor, sometimes not — and ask directly: "Does solving this support something we're already trying to do? What happens if we don't fix it?" If nobody can answer clearly, that's useful information too. Record it on the Strategic Fit Check.</w:t>
      </w:r>
    </w:p>
    <w:p>
      <w:r>
        <w:rPr>
          <w:i/>
          <w:color w:val="1F2D3D"/>
          <w:sz w:val="18"/>
        </w:rPr>
        <w:t>→ Produces: Strategic Fit Check</w:t>
      </w:r>
    </w:p>
    <w:p>
      <w:pPr>
        <w:spacing w:before="200"/>
      </w:pPr>
      <w:r>
        <w:rPr>
          <w:b/>
          <w:i w:val="0"/>
          <w:sz w:val="22"/>
        </w:rPr>
        <w:t>Step 6 — Identify and formally name the executive sponsor, and name the FRF process leader.</w:t>
      </w:r>
    </w:p>
    <w:p>
      <w:pPr>
        <w:spacing w:after="160"/>
      </w:pPr>
      <w:r>
        <w:rPr>
          <w:b w:val="0"/>
          <w:i w:val="0"/>
          <w:sz w:val="20"/>
        </w:rPr>
        <w:t>By this point the right sponsor is usually obvious — whoever can authorize the Phase 2 budget without further approval, or has direct authority to escalate to whoever can. Have them formally accept the role on the Executive Sponsor &amp; FRF Process Leader Designation form. Name the process leader at the same time — the person who carries continuity, evidence, and the document package from here through Gate 4; it may or may not be the same person as the sponsor. If nobody can be named for either role, stop here — this is the clearest signal a project isn't ready to fund.</w:t>
      </w:r>
    </w:p>
    <w:p>
      <w:r>
        <w:rPr>
          <w:i/>
          <w:color w:val="1F2D3D"/>
          <w:sz w:val="18"/>
        </w:rPr>
        <w:t>→ Produces: Executive Sponsor &amp; FRF Process Leader Designation</w:t>
      </w:r>
    </w:p>
    <w:p>
      <w:pPr>
        <w:spacing w:before="200"/>
      </w:pPr>
      <w:r>
        <w:rPr>
          <w:b/>
          <w:i w:val="0"/>
          <w:sz w:val="22"/>
        </w:rPr>
        <w:t>Step 7 — Run the actual Gate 1 decision, in person.</w:t>
      </w:r>
    </w:p>
    <w:p>
      <w:pPr>
        <w:spacing w:after="160"/>
      </w:pPr>
      <w:r>
        <w:rPr>
          <w:b w:val="0"/>
          <w:i w:val="0"/>
          <w:sz w:val="20"/>
        </w:rPr>
        <w:t>Bring the sponsor the completed Problem Statement, Strategic Fit Check, and Rough-Order Budget Range Worksheet in one sitting — a real meeting, not an email chain. Ask the gate question directly and record whatever they actually decide on the Gate 1 Decision Record, even if the answer is "not yet." That record is what closes the phase.</w:t>
      </w:r>
    </w:p>
    <w:p>
      <w:r>
        <w:rPr>
          <w:i/>
          <w:color w:val="1F2D3D"/>
          <w:sz w:val="18"/>
        </w:rPr>
        <w:t>→ Produces: Gate 1 Decision Record</w:t>
      </w:r>
    </w:p>
    <w:p>
      <w:pPr>
        <w:spacing w:before="280" w:after="120"/>
        <w:pBdr>
          <w:bottom w:val="single" w:sz="6" w:space="2" w:color="B8862E"/>
        </w:pBdr>
      </w:pPr>
      <w:r>
        <w:rPr>
          <w:b/>
          <w:color w:val="1F2D3D"/>
          <w:sz w:val="26"/>
        </w:rPr>
        <w:t>Forms for This Phase</w:t>
      </w:r>
    </w:p>
    <w:p>
      <w:pPr>
        <w:spacing w:after="160"/>
      </w:pPr>
      <w:r>
        <w:rPr>
          <w:b w:val="0"/>
          <w:i w:val="0"/>
          <w:sz w:val="19"/>
        </w:rPr>
        <w:t>Each form below is a separate, standalone document in this phase's Forms folder — fill them in as you go through the steps above.</w:t>
      </w:r>
    </w:p>
    <w:p>
      <w:pPr>
        <w:spacing w:after="60"/>
      </w:pPr>
      <w:r>
        <w:rPr>
          <w:b/>
          <w:sz w:val="19"/>
        </w:rPr>
        <w:t xml:space="preserve">Problem Statement — </w:t>
      </w:r>
      <w:r>
        <w:rPr>
          <w:sz w:val="19"/>
        </w:rPr>
        <w:t>Confirms the problem is real and written down, not a wish list from one department.</w:t>
      </w:r>
    </w:p>
    <w:p>
      <w:pPr>
        <w:spacing w:after="60"/>
      </w:pPr>
      <w:r>
        <w:rPr>
          <w:b/>
          <w:sz w:val="19"/>
        </w:rPr>
        <w:t xml:space="preserve">Strategic Fit Check — </w:t>
      </w:r>
      <w:r>
        <w:rPr>
          <w:sz w:val="19"/>
        </w:rPr>
        <w:t>Confirms the project is worth pursuing on business grounds.</w:t>
      </w:r>
    </w:p>
    <w:p>
      <w:pPr>
        <w:spacing w:after="60"/>
      </w:pPr>
      <w:r>
        <w:rPr>
          <w:b/>
          <w:sz w:val="19"/>
        </w:rPr>
        <w:t xml:space="preserve">Rough-Order Budget Range Worksheet — </w:t>
      </w:r>
      <w:r>
        <w:rPr>
          <w:sz w:val="19"/>
        </w:rPr>
        <w:t>A wide, honest range — not a firm number.</w:t>
      </w:r>
    </w:p>
    <w:p>
      <w:pPr>
        <w:spacing w:after="60"/>
      </w:pPr>
      <w:r>
        <w:rPr>
          <w:b/>
          <w:sz w:val="19"/>
        </w:rPr>
        <w:t xml:space="preserve">Executive Sponsor &amp; FRF Process Leader Designation — </w:t>
      </w:r>
      <w:r>
        <w:rPr>
          <w:sz w:val="19"/>
        </w:rPr>
        <w:t>Names the sponsor, the process leader, and each gate's decision authority — distinct roles, not one person wearing every hat.</w:t>
      </w:r>
    </w:p>
    <w:p>
      <w:pPr>
        <w:spacing w:after="60"/>
      </w:pPr>
      <w:r>
        <w:rPr>
          <w:b/>
          <w:sz w:val="19"/>
        </w:rPr>
        <w:t xml:space="preserve">Gate 1 Decision Record — </w:t>
      </w:r>
      <w:r>
        <w:rPr>
          <w:sz w:val="19"/>
        </w:rPr>
        <w:t>The written record that closes Phase 1.</w:t>
      </w: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