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Calibri" w:hAnsi="Calibri"/>
          <w:b/>
          <w:color w:val="1F2D3D"/>
          <w:sz w:val="20"/>
        </w:rPr>
        <w:t>VERITAS CONCEPT ENGINEERING</w:t>
      </w:r>
    </w:p>
    <w:p>
      <w:pPr>
        <w:spacing w:after="200"/>
      </w:pPr>
      <w:r>
        <w:rPr>
          <w:i/>
          <w:color w:val="555555"/>
          <w:sz w:val="18"/>
        </w:rPr>
        <w:t>Facilities Planning Consulting — Robin Owens</w:t>
      </w:r>
    </w:p>
    <w:p>
      <w:pPr>
        <w:spacing w:after="40"/>
      </w:pPr>
      <w:r>
        <w:rPr>
          <w:b/>
          <w:color w:val="B8862E"/>
          <w:sz w:val="16"/>
        </w:rPr>
        <w:t>FRF · PHASE 1 OF 4 · VALIDATE THE NEED</w:t>
      </w:r>
    </w:p>
    <w:p>
      <w:pPr>
        <w:spacing w:after="40"/>
      </w:pPr>
      <w:r>
        <w:rPr>
          <w:b/>
          <w:color w:val="1F2D3D"/>
          <w:sz w:val="40"/>
        </w:rPr>
        <w:t>Validate the Need</w:t>
      </w:r>
    </w:p>
    <w:p>
      <w:pPr>
        <w:spacing w:after="240"/>
      </w:pPr>
      <w:r>
        <w:rPr>
          <w:i/>
          <w:color w:val="B8862E"/>
          <w:sz w:val="24"/>
        </w:rPr>
        <w:t>Facility Readiness Framework — Phase 1 of 4</w:t>
      </w:r>
    </w:p>
    <w:p>
      <w:pPr>
        <w:spacing w:after="160"/>
      </w:pPr>
      <w:r>
        <w:rPr>
          <w:b w:val="0"/>
          <w:i w:val="0"/>
          <w:sz w:val="21"/>
        </w:rPr>
        <w:t>Phase 1 turns a department's complaint into a written, confirmed, sponsored case for spending real planning money — in days, not weeks.</w:t>
      </w:r>
    </w:p>
    <w:tbl>
      <w:tblPr>
        <w:tblW w:type="auto" w:w="0"/>
        <w:jc w:val="center"/>
        <w:tblLayout w:type="autofit"/>
        <w:tblLook w:firstColumn="1" w:firstRow="1" w:lastColumn="0" w:lastRow="0" w:noHBand="0" w:noVBand="1" w:val="04A0"/>
      </w:tblPr>
      <w:tblGrid>
        <w:gridCol w:w="4824"/>
        <w:gridCol w:w="4824"/>
      </w:tblGrid>
      <w:tr>
        <w:tc>
          <w:tcPr>
            <w:tcW w:type="dxa" w:w="4824"/>
            <w:shd w:val="clear" w:color="auto" w:fill="F7F7F5"/>
            <w:tcBorders>
              <w:top w:sz="4" w:val="single" w:color="CCCCCC"/>
              <w:left w:sz="4" w:val="single" w:color="CCCCCC"/>
              <w:bottom w:sz="4" w:val="single" w:color="CCCCCC"/>
              <w:right w:sz="4" w:val="single" w:color="CCCCCC"/>
            </w:tcBorders>
          </w:tcPr>
          <w:p>
            <w:pPr>
              <w:spacing w:after="40"/>
            </w:pPr>
            <w:r>
              <w:rPr>
                <w:b/>
                <w:color w:val="B8862E"/>
                <w:sz w:val="16"/>
              </w:rPr>
              <w:t>GATE 1</w:t>
            </w:r>
          </w:p>
          <w:p>
            <w:pPr>
              <w:spacing w:after="40"/>
            </w:pPr>
            <w:r>
              <w:rPr>
                <w:b/>
                <w:i w:val="0"/>
                <w:sz w:val="20"/>
              </w:rPr>
              <w:t>Need Validated</w:t>
            </w:r>
          </w:p>
        </w:tc>
        <w:tc>
          <w:tcPr>
            <w:tcW w:type="dxa" w:w="4824"/>
            <w:shd w:val="clear" w:color="auto" w:fill="F7F7F5"/>
            <w:tcBorders>
              <w:top w:sz="4" w:val="single" w:color="CCCCCC"/>
              <w:left w:sz="4" w:val="single" w:color="CCCCCC"/>
              <w:bottom w:sz="4" w:val="single" w:color="CCCCCC"/>
              <w:right w:sz="4" w:val="single" w:color="CCCCCC"/>
            </w:tcBorders>
          </w:tcPr>
          <w:p>
            <w:pPr>
              <w:spacing w:after="40"/>
            </w:pPr>
            <w:r>
              <w:rPr>
                <w:b/>
                <w:color w:val="B8862E"/>
                <w:sz w:val="16"/>
              </w:rPr>
              <w:t>ACCOUNTABLE</w:t>
            </w:r>
          </w:p>
          <w:p>
            <w:pPr>
              <w:spacing w:after="40"/>
            </w:pPr>
            <w:r>
              <w:rPr>
                <w:b/>
                <w:i w:val="0"/>
                <w:sz w:val="20"/>
              </w:rPr>
              <w:t>Executive sponsor — CFO, superintendent, city manager, VP of Facilities</w:t>
            </w:r>
          </w:p>
        </w:tc>
      </w:tr>
      <w:tr>
        <w:tc>
          <w:tcPr>
            <w:tcW w:type="dxa" w:w="4824"/>
            <w:shd w:val="clear" w:color="auto" w:fill="F7F7F5"/>
            <w:tcBorders>
              <w:top w:sz="4" w:val="single" w:color="CCCCCC"/>
              <w:left w:sz="4" w:val="single" w:color="CCCCCC"/>
              <w:bottom w:sz="4" w:val="single" w:color="CCCCCC"/>
              <w:right w:sz="4" w:val="single" w:color="CCCCCC"/>
            </w:tcBorders>
          </w:tcPr>
          <w:p>
            <w:pPr>
              <w:spacing w:after="40"/>
            </w:pPr>
            <w:r>
              <w:rPr>
                <w:b/>
                <w:color w:val="B8862E"/>
                <w:sz w:val="16"/>
              </w:rPr>
              <w:t>GATE QUESTION</w:t>
            </w:r>
          </w:p>
          <w:p>
            <w:pPr>
              <w:spacing w:after="40"/>
            </w:pPr>
            <w:r>
              <w:rPr>
                <w:b w:val="0"/>
                <w:i w:val="0"/>
                <w:sz w:val="20"/>
              </w:rPr>
              <w:t>Does leadership agree this is worth spending real planning money on?</w:t>
            </w:r>
          </w:p>
        </w:tc>
        <w:tc>
          <w:tcPr>
            <w:tcW w:type="dxa" w:w="4824"/>
            <w:shd w:val="clear" w:color="auto" w:fill="F7F7F5"/>
            <w:tcBorders>
              <w:top w:sz="4" w:val="single" w:color="CCCCCC"/>
              <w:left w:sz="4" w:val="single" w:color="CCCCCC"/>
              <w:bottom w:sz="4" w:val="single" w:color="CCCCCC"/>
              <w:right w:sz="4" w:val="single" w:color="CCCCCC"/>
            </w:tcBorders>
          </w:tcPr>
          <w:p>
            <w:pPr>
              <w:spacing w:after="40"/>
            </w:pPr>
            <w:r>
              <w:rPr>
                <w:b/>
                <w:color w:val="B8862E"/>
                <w:sz w:val="16"/>
              </w:rPr>
              <w:t>WHAT ACTUALLY GETS SKIPPED</w:t>
            </w:r>
          </w:p>
          <w:p>
            <w:pPr>
              <w:spacing w:after="40"/>
            </w:pPr>
            <w:r>
              <w:rPr>
                <w:b w:val="0"/>
                <w:i w:val="0"/>
                <w:sz w:val="20"/>
              </w:rPr>
              <w:t>Not the sign-off — the written record: no problem statement, no named sponsor, just momentum and a budget line.</w:t>
            </w:r>
          </w:p>
        </w:tc>
      </w:tr>
    </w:tbl>
    <w:p>
      <w:pPr>
        <w:spacing w:after="80"/>
      </w:pPr>
    </w:p>
    <w:p>
      <w:pPr>
        <w:spacing w:before="280" w:after="120"/>
        <w:pBdr>
          <w:bottom w:val="single" w:sz="6" w:space="2" w:color="B8862E"/>
        </w:pBdr>
      </w:pPr>
      <w:r>
        <w:rPr>
          <w:b/>
          <w:color w:val="1F2D3D"/>
          <w:sz w:val="26"/>
        </w:rPr>
        <w:t>Running the Gate</w:t>
      </w:r>
    </w:p>
    <w:p>
      <w:pPr>
        <w:spacing w:after="160"/>
      </w:pPr>
      <w:r>
        <w:rPr>
          <w:b w:val="0"/>
          <w:i w:val="0"/>
          <w:sz w:val="19"/>
        </w:rPr>
        <w:t>Steps in order, facilitated by you or the owner's project lead. Each form named below is its own standalone document in this phase's Forms folder.</w:t>
      </w:r>
    </w:p>
    <w:p>
      <w:pPr>
        <w:spacing w:before="160" w:after="40"/>
      </w:pPr>
      <w:r>
        <w:rPr>
          <w:b/>
          <w:color w:val="B8862E"/>
        </w:rPr>
        <w:t xml:space="preserve">1.  </w:t>
      </w:r>
      <w:r>
        <w:rPr>
          <w:b/>
          <w:i w:val="0"/>
          <w:sz w:val="22"/>
        </w:rPr>
        <w:t>Find who's raising the problem — talk to them directly</w:t>
      </w:r>
    </w:p>
    <w:p>
      <w:pPr>
        <w:spacing w:after="40"/>
        <w:ind w:left="360"/>
      </w:pPr>
      <w:r>
        <w:rPr>
          <w:b w:val="0"/>
          <w:i w:val="0"/>
          <w:sz w:val="20"/>
        </w:rPr>
        <w:t>30-45 minutes with the requesting person or department, plus their direct manager. Sit down and ask; don't work from a written request or a hallway summary.</w:t>
      </w:r>
    </w:p>
    <w:p>
      <w:pPr>
        <w:spacing w:before="160" w:after="40"/>
      </w:pPr>
      <w:r>
        <w:rPr>
          <w:b/>
          <w:color w:val="B8862E"/>
        </w:rPr>
        <w:t xml:space="preserve">2.  </w:t>
      </w:r>
      <w:r>
        <w:rPr>
          <w:b/>
          <w:i w:val="0"/>
          <w:sz w:val="22"/>
        </w:rPr>
        <w:t>Get the problem in writing, in measurable terms</w:t>
      </w:r>
    </w:p>
    <w:p>
      <w:pPr>
        <w:spacing w:after="40"/>
        <w:ind w:left="360"/>
      </w:pPr>
      <w:r>
        <w:rPr>
          <w:b w:val="0"/>
          <w:i w:val="0"/>
          <w:sz w:val="20"/>
        </w:rPr>
        <w:t>Push past "it's really bad" to numbers — downtime, missed orders, safety incidents, capacity you can't use. Fill the form out live, in the room, not from memory afterward.</w:t>
      </w:r>
    </w:p>
    <w:p>
      <w:pPr>
        <w:spacing w:after="120"/>
        <w:ind w:left="360"/>
      </w:pPr>
      <w:r>
        <w:rPr>
          <w:i/>
          <w:color w:val="1F2D3D"/>
          <w:sz w:val="18"/>
        </w:rPr>
        <w:t>→ Form: Problem Statement (start)</w:t>
      </w:r>
    </w:p>
    <w:p>
      <w:pPr>
        <w:spacing w:before="160" w:after="40"/>
      </w:pPr>
      <w:r>
        <w:rPr>
          <w:b/>
          <w:color w:val="B8862E"/>
        </w:rPr>
        <w:t xml:space="preserve">3.  </w:t>
      </w:r>
      <w:r>
        <w:rPr>
          <w:b/>
          <w:i w:val="0"/>
          <w:sz w:val="22"/>
        </w:rPr>
        <w:t>Get independent confirmation the problem is real</w:t>
      </w:r>
    </w:p>
    <w:p>
      <w:pPr>
        <w:spacing w:after="40"/>
        <w:ind w:left="360"/>
      </w:pPr>
      <w:r>
        <w:rPr>
          <w:b w:val="0"/>
          <w:i w:val="0"/>
          <w:sz w:val="20"/>
        </w:rPr>
        <w:t>At least one person outside the requesting department — their boss, a peer director, a plant manager — has to independently agree. The best protection against funding one department's pet project.</w:t>
      </w:r>
    </w:p>
    <w:p>
      <w:pPr>
        <w:spacing w:after="120"/>
        <w:ind w:left="360"/>
      </w:pPr>
      <w:r>
        <w:rPr>
          <w:i/>
          <w:color w:val="1F2D3D"/>
          <w:sz w:val="18"/>
        </w:rPr>
        <w:t>→ Form: Problem Statement (confirmed)</w:t>
      </w:r>
    </w:p>
    <w:p>
      <w:pPr>
        <w:spacing w:before="160" w:after="40"/>
      </w:pPr>
      <w:r>
        <w:rPr>
          <w:b/>
          <w:color w:val="B8862E"/>
        </w:rPr>
        <w:t xml:space="preserve">4.  </w:t>
      </w:r>
      <w:r>
        <w:rPr>
          <w:b/>
          <w:i w:val="0"/>
          <w:sz w:val="22"/>
        </w:rPr>
        <w:t>Bracket a rough-order budget range</w:t>
      </w:r>
    </w:p>
    <w:p>
      <w:pPr>
        <w:spacing w:after="40"/>
        <w:ind w:left="360"/>
      </w:pPr>
      <w:r>
        <w:rPr>
          <w:b w:val="0"/>
          <w:i w:val="0"/>
          <w:sz w:val="20"/>
        </w:rPr>
        <w:t>You're bracketing, not pricing: a comparable past project, a budgetary vendor call, or a $/sq ft rule of thumb. Keep the range wide on purpose — false precision this early is a guess wearing a suit.</w:t>
      </w:r>
    </w:p>
    <w:p>
      <w:pPr>
        <w:spacing w:after="120"/>
        <w:ind w:left="360"/>
      </w:pPr>
      <w:r>
        <w:rPr>
          <w:i/>
          <w:color w:val="1F2D3D"/>
          <w:sz w:val="18"/>
        </w:rPr>
        <w:t>→ Form: Rough-Order Budget Range Worksheet</w:t>
      </w:r>
    </w:p>
    <w:p>
      <w:pPr>
        <w:spacing w:before="160" w:after="40"/>
      </w:pPr>
      <w:r>
        <w:rPr>
          <w:b/>
          <w:color w:val="B8862E"/>
        </w:rPr>
        <w:t xml:space="preserve">5.  </w:t>
      </w:r>
      <w:r>
        <w:rPr>
          <w:b/>
          <w:i w:val="0"/>
          <w:sz w:val="22"/>
        </w:rPr>
        <w:t>Check strategic fit</w:t>
      </w:r>
    </w:p>
    <w:p>
      <w:pPr>
        <w:spacing w:after="40"/>
        <w:ind w:left="360"/>
      </w:pPr>
      <w:r>
        <w:rPr>
          <w:b w:val="0"/>
          <w:i w:val="0"/>
          <w:sz w:val="20"/>
        </w:rPr>
        <w:t>Take the problem and the budget range to whoever owns strategy. Ask directly: does this support something already underway, and what happens if it isn't done? No clear answer is useful information too.</w:t>
      </w:r>
    </w:p>
    <w:p>
      <w:pPr>
        <w:spacing w:after="120"/>
        <w:ind w:left="360"/>
      </w:pPr>
      <w:r>
        <w:rPr>
          <w:i/>
          <w:color w:val="1F2D3D"/>
          <w:sz w:val="18"/>
        </w:rPr>
        <w:t>→ Form: Strategic Fit Check</w:t>
      </w:r>
    </w:p>
    <w:p>
      <w:pPr>
        <w:spacing w:before="160" w:after="40"/>
      </w:pPr>
      <w:r>
        <w:rPr>
          <w:b/>
          <w:color w:val="B8862E"/>
        </w:rPr>
        <w:t xml:space="preserve">6.  </w:t>
      </w:r>
      <w:r>
        <w:rPr>
          <w:b/>
          <w:i w:val="0"/>
          <w:sz w:val="22"/>
        </w:rPr>
        <w:t>Identify and formally name the executive sponsor and the process leader</w:t>
      </w:r>
    </w:p>
    <w:p>
      <w:pPr>
        <w:spacing w:after="40"/>
        <w:ind w:left="360"/>
      </w:pPr>
      <w:r>
        <w:rPr>
          <w:b w:val="0"/>
          <w:i w:val="0"/>
          <w:sz w:val="20"/>
        </w:rPr>
        <w:t>Usually obvious by now: whoever can authorize the Phase 2 budget without further approval becomes sponsor. Separately name the FRF process leader, who carries continuity through Gate 4. Have both accept the role in writing. If nobody can be named, stop here — that's the clearest signal the project isn't ready.</w:t>
      </w:r>
    </w:p>
    <w:p>
      <w:pPr>
        <w:spacing w:after="120"/>
        <w:ind w:left="360"/>
      </w:pPr>
      <w:r>
        <w:rPr>
          <w:i/>
          <w:color w:val="1F2D3D"/>
          <w:sz w:val="18"/>
        </w:rPr>
        <w:t>→ Form: Executive Sponsor &amp; FRF Process Leader Designation</w:t>
      </w:r>
    </w:p>
    <w:p>
      <w:pPr>
        <w:spacing w:before="160" w:after="40"/>
      </w:pPr>
      <w:r>
        <w:rPr>
          <w:b/>
          <w:color w:val="B8862E"/>
        </w:rPr>
        <w:t xml:space="preserve">7.  </w:t>
      </w:r>
      <w:r>
        <w:rPr>
          <w:b/>
          <w:i w:val="0"/>
          <w:sz w:val="22"/>
        </w:rPr>
        <w:t>Run the actual Gate 1 decision, in person</w:t>
      </w:r>
    </w:p>
    <w:p>
      <w:pPr>
        <w:spacing w:after="40"/>
        <w:ind w:left="360"/>
      </w:pPr>
      <w:r>
        <w:rPr>
          <w:b w:val="0"/>
          <w:i w:val="0"/>
          <w:sz w:val="20"/>
        </w:rPr>
        <w:t>Bring the sponsor all three completed forms in one sitting — a real meeting, not an email chain. Ask the gate question directly and record whatever they actually decide, even "not yet."</w:t>
      </w:r>
    </w:p>
    <w:p>
      <w:pPr>
        <w:spacing w:after="120"/>
        <w:ind w:left="360"/>
      </w:pPr>
      <w:r>
        <w:rPr>
          <w:i/>
          <w:color w:val="1F2D3D"/>
          <w:sz w:val="18"/>
        </w:rPr>
        <w:t>→ Form: Gate 1 Decision Record</w:t>
      </w:r>
    </w:p>
    <w:p>
      <w:pPr>
        <w:spacing w:before="280" w:after="120"/>
        <w:pBdr>
          <w:bottom w:val="single" w:sz="6" w:space="2" w:color="B8862E"/>
        </w:pBdr>
      </w:pPr>
      <w:r>
        <w:rPr>
          <w:b/>
          <w:color w:val="1F2D3D"/>
          <w:sz w:val="26"/>
        </w:rPr>
        <w:t>The Forms for This Phase</w:t>
      </w:r>
    </w:p>
    <w:p>
      <w:pPr>
        <w:spacing w:after="60"/>
      </w:pPr>
      <w:r>
        <w:rPr>
          <w:b/>
          <w:sz w:val="19"/>
        </w:rPr>
        <w:t xml:space="preserve">Problem Statement — </w:t>
      </w:r>
      <w:r>
        <w:rPr>
          <w:sz w:val="19"/>
        </w:rPr>
        <w:t>The problem, in measurable terms, confirmed as real by someone outside the requesting department.</w:t>
      </w:r>
    </w:p>
    <w:p>
      <w:pPr>
        <w:spacing w:after="60"/>
      </w:pPr>
      <w:r>
        <w:rPr>
          <w:b/>
          <w:sz w:val="19"/>
        </w:rPr>
        <w:t xml:space="preserve">Strategic Fit Check — </w:t>
      </w:r>
      <w:r>
        <w:rPr>
          <w:sz w:val="19"/>
        </w:rPr>
        <w:t>Ties the project to a named strategy and states the cost of doing nothing.</w:t>
      </w:r>
    </w:p>
    <w:p>
      <w:pPr>
        <w:spacing w:after="60"/>
      </w:pPr>
      <w:r>
        <w:rPr>
          <w:b/>
          <w:sz w:val="19"/>
        </w:rPr>
        <w:t xml:space="preserve">Rough-Order Budget Range Worksheet — </w:t>
      </w:r>
      <w:r>
        <w:rPr>
          <w:sz w:val="19"/>
        </w:rPr>
        <w:t>A wide, honest range and its basis — not a firm number.</w:t>
      </w:r>
    </w:p>
    <w:p>
      <w:pPr>
        <w:spacing w:after="60"/>
      </w:pPr>
      <w:r>
        <w:rPr>
          <w:b/>
          <w:sz w:val="19"/>
        </w:rPr>
        <w:t xml:space="preserve">Executive Sponsor &amp; FRF Process Leader Designation — </w:t>
      </w:r>
      <w:r>
        <w:rPr>
          <w:sz w:val="19"/>
        </w:rPr>
        <w:t>The sponsor, the process leader, and each gate's decision authority — distinct roles, named separately.</w:t>
      </w:r>
    </w:p>
    <w:p>
      <w:pPr>
        <w:spacing w:after="60"/>
      </w:pPr>
      <w:r>
        <w:rPr>
          <w:b/>
          <w:sz w:val="19"/>
        </w:rPr>
        <w:t xml:space="preserve">Gate 1 Decision Record — </w:t>
      </w:r>
      <w:r>
        <w:rPr>
          <w:sz w:val="19"/>
        </w:rPr>
        <w:t>The artifact that closes Phase 1. Phase 2 work shouldn't start without it.</w:t>
      </w:r>
    </w:p>
    <w:tbl>
      <w:tblPr>
        <w:tblW w:type="auto" w:w="0"/>
        <w:jc w:val="center"/>
        <w:tblLook w:firstColumn="1" w:firstRow="1" w:lastColumn="0" w:lastRow="0" w:noHBand="0" w:noVBand="1" w:val="04A0"/>
      </w:tblPr>
      <w:tblGrid>
        <w:gridCol w:w="9648"/>
      </w:tblGrid>
      <w:tr>
        <w:tc>
          <w:tcPr>
            <w:tcW w:type="dxa" w:w="9648"/>
            <w:shd w:val="clear" w:color="auto" w:fill="FBF4E4"/>
            <w:tcBorders>
              <w:top w:sz="4" w:val="single" w:color="B8862E"/>
              <w:left w:sz="4" w:val="single" w:color="B8862E"/>
              <w:bottom w:sz="4" w:val="single" w:color="B8862E"/>
              <w:right w:sz="4" w:val="single" w:color="B8862E"/>
            </w:tcBorders>
          </w:tcPr>
          <w:p>
            <w:r>
              <w:rPr>
                <w:b w:val="0"/>
                <w:i/>
                <w:sz w:val="19"/>
              </w:rPr>
              <w:t>If any step turns out to be genuinely hard to complete — nobody outside the department will confirm the problem, no one will take the sponsor role — that's not a paperwork problem. It's the project telling you it isn't ready to leave Phase 1 yet.</w:t>
            </w:r>
          </w:p>
        </w:tc>
      </w:tr>
    </w:tbl>
    <w:p>
      <w:pPr>
        <w:spacing w:after="80"/>
      </w:pPr>
    </w:p>
    <w:p>
      <w:pPr>
        <w:spacing w:before="0" w:after="0"/>
        <w:rPr>
          <w:sz w:val="2"/>
        </w:rPr>
      </w:pPr>
    </w:p>
    <w:sectPr w:rsidR="00FC693F" w:rsidRPr="0006063C" w:rsidSect="00034616">
      <w:footerReference w:type="default" r:id="rId9"/>
      <w:pgSz w:w="12240" w:h="15840"/>
      <w:pgMar w:top="1008" w:right="1296" w:bottom="1008" w:left="129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4" w:space="4" w:color="CCCCCC"/>
      </w:pBdr>
    </w:pPr>
    <w:r/>
    <w:r>
      <w:rPr>
        <w:color w:val="555555"/>
        <w:sz w:val="17"/>
      </w:rPr>
      <w:t>Veritas Concept Engineering  ·  Robin Owens  ·  www.veritasconcept.com</w:t>
    </w:r>
  </w:p>
  <w:p>
    <w:pPr>
      <w:jc w:val="center"/>
    </w:pPr>
    <w:r>
      <w:rPr>
        <w:i/>
        <w:color w:val="555555"/>
        <w:sz w:val="16"/>
      </w:rPr>
      <w:t>Part of the Facility Readiness Framework (FRF) — free for public use. Download, adapt, and use for your own capital-project planning.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