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B5892B"/>
          <w:sz w:val="18"/>
          <w:szCs w:val="18"/>
        </w:rPr>
        <w:t xml:space="preserve">VERITAS CONCEPT ENGINEERING</w:t>
      </w:r>
    </w:p>
    <w:p>
      <w:pPr>
        <w:spacing w:after="200"/>
      </w:pPr>
      <w:r>
        <w:rPr>
          <w:rFonts w:ascii="Calibri" w:cs="Calibri" w:eastAsia="Calibri" w:hAnsi="Calibri"/>
          <w:i/>
          <w:iCs/>
          <w:color w:val="666666"/>
          <w:sz w:val="18"/>
          <w:szCs w:val="18"/>
        </w:rPr>
        <w:t xml:space="preserve">Facilities Planning Consulting — Robin Owens</w:t>
      </w:r>
    </w:p>
    <w:p>
      <w:pPr>
        <w:pStyle w:val="Title"/>
        <w:spacing w:after="100"/>
      </w:pPr>
      <w:r>
        <w:rPr>
          <w:rFonts w:ascii="Calibri" w:cs="Calibri" w:eastAsia="Calibri" w:hAnsi="Calibri"/>
          <w:b/>
          <w:bCs/>
          <w:color w:val="1F3864"/>
          <w:sz w:val="40"/>
          <w:szCs w:val="40"/>
        </w:rPr>
        <w:t xml:space="preserve">FRF Phase 1 — Worked Example</w:t>
      </w:r>
    </w:p>
    <w:p>
      <w:pPr>
        <w:spacing w:after="300"/>
      </w:pPr>
      <w:r>
        <w:rPr>
          <w:rFonts w:ascii="Calibri" w:cs="Calibri" w:eastAsia="Calibri" w:hAnsi="Calibri"/>
          <w:i/>
          <w:iCs/>
          <w:color w:val="555555"/>
          <w:sz w:val="22"/>
          <w:szCs w:val="22"/>
        </w:rPr>
        <w:t xml:space="preserve">Illustrative sample data for all five Phase 1 forms</w:t>
      </w:r>
    </w:p>
    <w:p>
      <w:pPr>
        <w:spacing w:after="160" w:line="276"/>
      </w:pPr>
      <w:r>
        <w:rPr>
          <w:rFonts w:ascii="Calibri" w:cs="Calibri" w:eastAsia="Calibri" w:hAnsi="Calibri"/>
          <w:color w:val="222222"/>
          <w:sz w:val="21"/>
          <w:szCs w:val="21"/>
        </w:rPr>
        <w:t xml:space="preserve">This shows Phase 1 filled in, not blank. It uses the same fictional company as the Phase 2, Step 1 Worked Example — an electronics contract manufacturer whose SMT assembly and test line has run out of capacity — so the two worked examples read as one continuous case study: this is how the project got validated and funded into Phase 2 in the first place, and the Phase 2 example picks up right where the Gate 1 Decision Record below leaves off. Sample answers are shown in navy to distinguish them from the actual blank Facilitator Guide.</w:t>
      </w:r>
    </w:p>
    <w:p>
      <w:pPr>
        <w:spacing w:after="160" w:line="276"/>
      </w:pPr>
      <w:r>
        <w:rPr>
          <w:rFonts w:ascii="Calibri" w:cs="Calibri" w:eastAsia="Calibri" w:hAnsi="Calibri"/>
          <w:color w:val="222222"/>
          <w:sz w:val="21"/>
          <w:szCs w:val="21"/>
        </w:rPr>
        <w:t xml:space="preserve">Notice how the five forms build on each other in the order Phase 1's steps actually run: the Problem Statement establishes what's broken and gets independently confirmed, the Strategic Fit Check and Budget Range Worksheet get built from it, the Sponsor Designation names who can actually fund the next phase, and the Gate 1 Decision Record is where all of it gets turned into an actual go/no-go decision — not a summary of the other four, a record of what leadership decided.</w:t>
      </w:r>
    </w:p>
    <w:p>
      <w:pPr>
        <w:spacing w:after="80" w:before="260"/>
      </w:pPr>
      <w:r>
        <w:rPr>
          <w:rFonts w:ascii="Calibri" w:cs="Calibri" w:eastAsia="Calibri" w:hAnsi="Calibri"/>
          <w:b/>
          <w:bCs/>
          <w:color w:val="1F3864"/>
          <w:sz w:val="23"/>
          <w:szCs w:val="23"/>
        </w:rPr>
        <w:t xml:space="preserve">1. Problem Statement — filled example</w:t>
      </w:r>
    </w:p>
    <w:p>
      <w:pPr>
        <w:spacing w:after="140" w:line="264"/>
      </w:pPr>
      <w:r>
        <w:rPr>
          <w:rFonts w:ascii="Calibri" w:cs="Calibri" w:eastAsia="Calibri" w:hAnsi="Calibri"/>
          <w:i/>
          <w:iCs/>
          <w:color w:val="666666"/>
          <w:sz w:val="18"/>
          <w:szCs w:val="18"/>
        </w:rPr>
        <w:t xml:space="preserve">Fictional scenario: SMT Assembly &amp; Test Line Expansion, Building 2 — the same project used in the Phase 2 worked example.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Project / Initiative Name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SMT Assembly &amp; Test Line Expansion — Building 2</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Prepared By / Date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R. Owens, Veritas Concept Engineering / [date]</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Problem Description — what's broken, and what it's costing (downtime, lost capacity, safety, cost, or other measurable terms)</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Functional test queue routinely backs up 45+ minutes at peak on 2nd shift; SMT Line 2 is already running at 88% utilization. Two of four active customer programs have had quotes delayed or declined because committed lead times can't be met at current throughput — an estimated $180K/month in unbilled capacity, plus two written customer escalations over late deliveries in the last quarter.</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Evidence Behind It — what supports this being real (production data, incident reports, customer complaints, a capacity study, etc.)</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2nd-shift OEE reports showing the SMT Line 2 utilization trend; test-lab queue-time log (Aug-Sept); two customer escalation emails; Sales' declined-quote log showing 2 lost RFQs attributed to lead-time risk.</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Departments / Stakeholders Affected</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Operations (SMT &amp; Assembly), Quality/Test Engineering, Sales, Customer Program Management, Facilities</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Why Now — the trigger or urgency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Two active customer programs ramp in Q1 next year; committed volumes exceed current capacity by 45%. Losing a third RFQ this quarter to a competitor with open capacity would put a top-5 account relationship at real risk.</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Confirmed As Real By — name &amp; position of at least one person outside the requesting department who reviewed this and agrees it's real</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VP of Operations — independent of the Sales team that first raised it; reviewed the queue-time data and utilization figures and agrees the constraint is real and worsening.</w:t>
            </w:r>
          </w:p>
        </w:tc>
      </w:tr>
    </w:tbl>
    <w:p>
      <w:pPr>
        <w:spacing w:after="80" w:before="260"/>
      </w:pPr>
      <w:r>
        <w:rPr>
          <w:rFonts w:ascii="Calibri" w:cs="Calibri" w:eastAsia="Calibri" w:hAnsi="Calibri"/>
          <w:b/>
          <w:bCs/>
          <w:color w:val="1F3864"/>
          <w:sz w:val="23"/>
          <w:szCs w:val="23"/>
        </w:rPr>
        <w:t xml:space="preserve">2. Strategic Fit Check — filled example</w:t>
      </w:r>
    </w:p>
    <w:p>
      <w:pPr>
        <w:spacing w:after="140" w:line="264"/>
      </w:pPr>
      <w:r>
        <w:rPr>
          <w:rFonts w:ascii="Calibri" w:cs="Calibri" w:eastAsia="Calibri" w:hAnsi="Calibri"/>
          <w:i/>
          <w:iCs/>
          <w:color w:val="666666"/>
          <w:sz w:val="18"/>
          <w:szCs w:val="18"/>
        </w:rPr>
        <w:t xml:space="preserve">Ties the problem directly to a named company strategy, not a general "this seems worthwhile."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Named Company Strategy / Initiative This Supports</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2026-2028 Growth Plan — "Become the preferred contract manufacturer for 3 target industrial-controls accounts." This expansion directly protects and grows two of those three relationships.</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What Happens If This Is NOT Done — the cost of inaction</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Continued lost or declined RFQs; real risk of losing a top-5 account to a competitor with open capacity; no ability to onboard the 2 product families currently in qualification.</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Reviewed By (Name &amp; Position)</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[Name], Chief Operating Officer</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Date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[date]</w:t>
            </w:r>
          </w:p>
        </w:tc>
      </w:tr>
    </w:tbl>
    <w:p>
      <w:pPr>
        <w:spacing w:after="80" w:before="260"/>
      </w:pPr>
      <w:r>
        <w:rPr>
          <w:rFonts w:ascii="Calibri" w:cs="Calibri" w:eastAsia="Calibri" w:hAnsi="Calibri"/>
          <w:b/>
          <w:bCs/>
          <w:color w:val="1F3864"/>
          <w:sz w:val="23"/>
          <w:szCs w:val="23"/>
        </w:rPr>
        <w:t xml:space="preserve">3. Rough-Order Budget Range Worksheet — filled example</w:t>
      </w:r>
    </w:p>
    <w:p>
      <w:pPr>
        <w:spacing w:after="140" w:line="264"/>
      </w:pPr>
      <w:r>
        <w:rPr>
          <w:rFonts w:ascii="Calibri" w:cs="Calibri" w:eastAsia="Calibri" w:hAnsi="Calibri"/>
          <w:i/>
          <w:iCs/>
          <w:color w:val="666666"/>
          <w:sz w:val="18"/>
          <w:szCs w:val="18"/>
        </w:rPr>
        <w:t xml:space="preserve">A wide, honest range with a stated basis — not a single confident number this early.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Low-End Estimate ($)</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$650,000</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High-End Estimate ($)</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$1,100,000</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Basis For This Range — comparable project, rule-of-thumb $/sq ft, vendor budgetary quote, etc.</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Comparable SMT line addition completed 2 years ago at a sister facility (~$700K installed), adjusted for current equipment pricing; a vendor budgetary quote for the pick-and-place/printer/reflow package; a rough $180/SF allowance for the test-lab and kitting-area expansion.</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Confidence Level — Rough Guess / Order-of-Magnitude / Budgetary Quote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Order-of-Magnitude</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Prepared By / Date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R. Owens / [date]</w:t>
            </w:r>
          </w:p>
        </w:tc>
      </w:tr>
    </w:tbl>
    <w:p>
      <w:pPr>
        <w:spacing w:after="80" w:before="260"/>
      </w:pPr>
      <w:r>
        <w:rPr>
          <w:rFonts w:ascii="Calibri" w:cs="Calibri" w:eastAsia="Calibri" w:hAnsi="Calibri"/>
          <w:b/>
          <w:bCs/>
          <w:color w:val="1F3864"/>
          <w:sz w:val="23"/>
          <w:szCs w:val="23"/>
        </w:rPr>
        <w:t>4. Executive Sponsor &amp; FRF Process Leader Designation — filled example</w:t>
      </w:r>
    </w:p>
    <w:p>
      <w:pPr>
        <w:spacing w:after="140" w:line="264"/>
      </w:pPr>
      <w:r>
        <w:rPr>
          <w:rFonts w:ascii="Calibri" w:cs="Calibri" w:eastAsia="Calibri" w:hAnsi="Calibri"/>
          <w:i/>
          <w:iCs/>
          <w:color w:val="666666"/>
          <w:sz w:val="18"/>
          <w:szCs w:val="18"/>
        </w:rPr>
        <w:t xml:space="preserve">One named person with real authority to approve the next phase — not a committee.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Executive Sponsor — Name, Title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[Name], Chief Operating Officer</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Executive Sponsor — Authority Level</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Can approve up to $1.5M in capital spend without board approval; owns the P&amp;L for the affected product lines.</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Executive Sponsor — Contact Info</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[email / phone]</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FRF Process Leader — Name, Title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[Name], Facilities Director — same person carries this role through Gate 4</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FRF Process Leader — Contact Info</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[email / phone]</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Gate 1 Decision Authority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[Name], Chief Operating Officer (the Executive Sponsor above)</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Gate 2 Decision Authority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Facilities Director</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Gate 3 Decision Authority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CFO and Facilities Director, jointly</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Gate 4 Decision Authority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Executive Leadership Team (ELT) — capital committee</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Executive Sponsor — Signature / Date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[signature] / [date]</w:t>
            </w:r>
          </w:p>
        </w:tc>
      </w:tr>
    </w:tbl>
    <w:p>
      <w:pPr>
        <w:spacing w:after="80" w:before="260"/>
      </w:pPr>
      <w:r>
        <w:rPr>
          <w:rFonts w:ascii="Calibri" w:cs="Calibri" w:eastAsia="Calibri" w:hAnsi="Calibri"/>
          <w:b/>
          <w:bCs/>
          <w:color w:val="1F3864"/>
          <w:sz w:val="23"/>
          <w:szCs w:val="23"/>
        </w:rPr>
        <w:t xml:space="preserve">5. Gate 1 Decision Record — filled example</w:t>
      </w:r>
    </w:p>
    <w:p>
      <w:pPr>
        <w:spacing w:after="140" w:line="264"/>
      </w:pPr>
      <w:r>
        <w:rPr>
          <w:rFonts w:ascii="Calibri" w:cs="Calibri" w:eastAsia="Calibri" w:hAnsi="Calibri"/>
          <w:i/>
          <w:iCs/>
          <w:color w:val="666666"/>
          <w:sz w:val="18"/>
          <w:szCs w:val="18"/>
        </w:rPr>
        <w:t xml:space="preserve">The actual decision, with rationale and the Phase 2 budget it unlocks — this is what closes Phase 1 and is what the Phase 2 worked example picks up from.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Project / Initiative Name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SMT Assembly &amp; Test Line Expansion — Building 2</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Gate Question — does leadership agree this is worth spending real planning money on?</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Yes.</w:t>
            </w:r>
          </w:p>
        </w:tc>
      </w:tr>
      <w:tr>
        <w:trPr>
          <w:cantSplit/>
        </w:trPr>
        <w:tc>
          <w:tcPr>
            <w:tcW w:type="dxa" w:w="2700"/>
            <w:shd w:fill="F2F2F2" w:val="clear"/>
            <w:tcMar>
              <w:top w:type="dxa" w:w="100"/>
              <w:left w:type="dxa" w:w="120"/>
              <w:bottom w:type="dxa" w:w="100"/>
              <w:right w:type="dxa" w:w="120"/>
            </w:tcMar>
            <w:vAlign w:val="center"/>
          </w:tcPr>
          <w:p>
            <w:pPr>
              <w:spacing w:after="40"/>
            </w:pPr>
            <w:r>
              <w:rPr>
                <w:rFonts w:ascii="Calibri" w:cs="Calibri" w:eastAsia="Calibri" w:hAnsi="Calibri"/>
                <w:b/>
                <w:bCs/>
                <w:color w:val="222222"/>
                <w:sz w:val="18"/>
                <w:szCs w:val="18"/>
              </w:rPr>
              <w:t xml:space="preserve">Decision — mark one:</w:t>
            </w:r>
          </w:p>
          <w:p>
            <w:pPr>
              <w:spacing w:after="40"/>
            </w:pPr>
            <w:r>
              <w:rPr>
                <w:rFonts w:ascii="Calibri" w:cs="Calibri" w:eastAsia="Calibri" w:hAnsi="Calibri"/>
                <w:b/>
                <w:bCs/>
                <w:color w:val="222222"/>
                <w:sz w:val="18"/>
                <w:szCs w:val="18"/>
              </w:rPr>
              <w:t xml:space="preserve">☐ Approved, proceed to Phase 2</w:t>
            </w:r>
          </w:p>
          <w:p>
            <w:pPr>
              <w:spacing w:after="40"/>
            </w:pPr>
            <w:r>
              <w:rPr>
                <w:rFonts w:ascii="Calibri" w:cs="Calibri" w:eastAsia="Calibri" w:hAnsi="Calibri"/>
                <w:b/>
                <w:bCs/>
                <w:color w:val="222222"/>
                <w:sz w:val="18"/>
                <w:szCs w:val="18"/>
              </w:rPr>
              <w:t xml:space="preserve">☐ More information needed</w:t>
            </w:r>
          </w:p>
          <w:p>
            <w:pPr>
              <w:spacing w:after="0"/>
            </w:pPr>
            <w:r>
              <w:rPr>
                <w:rFonts w:ascii="Calibri" w:cs="Calibri" w:eastAsia="Calibri" w:hAnsi="Calibri"/>
                <w:b/>
                <w:bCs/>
                <w:color w:val="222222"/>
                <w:sz w:val="18"/>
                <w:szCs w:val="18"/>
              </w:rPr>
              <w:t xml:space="preserve">☐ Project stopped</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Approved, proceed to Phase 2 (this box checked)</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Rationale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Two lost RFQs and a top-5 account at risk make the cost of inaction clear. The budget range ($650K-$1.1M) is within the COO's authorization ceiling, and the tie to the named growth-plan strategy is direct. Approved to fund Phase 2 scope-definition work.</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Phase 2 Budget Authorized (if approved)</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$75,000 (facilitation, layout, and analysis work — not construction)</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Approved By — Sponsor Name, Title, Signature, Date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[COO Name], Chief Operating Officer, [signature], [date]</w:t>
            </w:r>
          </w:p>
        </w:tc>
      </w:tr>
    </w:tbl>
    <w:p>
      <w:pPr>
        <w:spacing w:before="0" w:after="0"/>
        <w:rPr>
          <w:sz w:val="2"/>
        </w:rPr>
      </w:pPr>
    </w:p>
    <w:sectPr>
      <w:footerReference w:type="default" r:id="rId8"/>
      <w:pgSz w:w="12240" w:h="15840" w:orient="portrait"/>
      <w:pgMar w:top="1080" w:right="1260" w:bottom="1080" w:left="1260" w:header="708" w:footer="28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888888"/>
        <w:sz w:val="18"/>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2026-09-01T18:16:55.342Z</dcterms:created>
  <dcterms:modified xsi:type="dcterms:W3CDTF">2026-09-01T18:16:55.343Z</dcterms:modified>
</cp:coreProperties>
</file>

<file path=docProps/custom.xml><?xml version="1.0" encoding="utf-8"?>
<Properties xmlns="http://schemas.openxmlformats.org/officeDocument/2006/custom-properties" xmlns:vt="http://schemas.openxmlformats.org/officeDocument/2006/docPropsVTypes"/>
</file>