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2D3D"/>
          <w:sz w:val="20"/>
        </w:rPr>
        <w:t>VERITAS CONCEPT ENGINEERING</w:t>
      </w:r>
    </w:p>
    <w:p>
      <w:pPr>
        <w:spacing w:after="200"/>
      </w:pPr>
      <w:r>
        <w:rPr>
          <w:i/>
          <w:color w:val="555555"/>
          <w:sz w:val="18"/>
        </w:rPr>
        <w:t>Facilities Planning Consulting — Robin Owens</w:t>
      </w:r>
    </w:p>
    <w:p>
      <w:pPr>
        <w:spacing w:after="40"/>
      </w:pPr>
      <w:r>
        <w:rPr>
          <w:b/>
          <w:color w:val="B8862E"/>
          <w:sz w:val="16"/>
        </w:rPr>
        <w:t>FRF · PHASE 2 OF 4 · DEFINE THE SCOPE</w:t>
      </w:r>
    </w:p>
    <w:p>
      <w:pPr>
        <w:spacing w:after="40"/>
      </w:pPr>
      <w:r>
        <w:rPr>
          <w:b/>
          <w:color w:val="1F2D3D"/>
          <w:sz w:val="40"/>
        </w:rPr>
        <w:t>Headcount Planning Worksheet</w:t>
      </w:r>
    </w:p>
    <w:p>
      <w:pPr>
        <w:spacing w:after="240"/>
      </w:pPr>
      <w:r>
        <w:rPr>
          <w:i/>
          <w:color w:val="B8862E"/>
          <w:sz w:val="24"/>
        </w:rPr>
        <w:t>Phase 2 — Define the Scope (Gate 2: Scope Locked — Non-Compensable Gate)</w:t>
      </w:r>
    </w:p>
    <w:p>
      <w:pPr>
        <w:spacing w:after="160"/>
      </w:pPr>
      <w:r>
        <w:rPr>
          <w:b w:val="0"/>
          <w:i w:val="0"/>
          <w:sz w:val="19"/>
        </w:rPr>
        <w:t>Projects headcount by department and title across at least three time horizons, then turns it into the parking, seating, restroom, and break/cafeteria counts that actually get built. Headcount &amp; Growth Planning is scored as its own element of the Facility Readiness Score.</w:t>
      </w:r>
    </w:p>
    <w:p>
      <w:pPr>
        <w:spacing w:after="160"/>
      </w:pPr>
      <w:r>
        <w:rPr>
          <w:b w:val="0"/>
          <w:i w:val="0"/>
          <w:sz w:val="19"/>
        </w:rPr>
        <w:t>Headcount is planned by department and title, over time — not just today's count — because this is what sizes parking, seating, restrooms, break areas, and cafeteria capacity later, and it's scored as its own element of the Facility Readiness Score (Headcount &amp; Growth Planning). A single blended number hides which departments are actually growing and why, and which shift actually drives peak demand on these amenities.</w:t>
      </w:r>
    </w:p>
    <w:p>
      <w:pPr>
        <w:spacing w:before="280" w:after="120"/>
        <w:pBdr>
          <w:bottom w:val="single" w:sz="6" w:space="2" w:color="B8862E"/>
        </w:pBdr>
      </w:pPr>
      <w:r>
        <w:rPr>
          <w:b/>
          <w:color w:val="1F2D3D"/>
          <w:sz w:val="26"/>
        </w:rPr>
        <w:t>Part A — Headcount by Department, Title &amp; Time Horizon</w:t>
      </w:r>
    </w:p>
    <w:tbl>
      <w:tblPr>
        <w:tblW w:type="auto" w:w="0"/>
        <w:tblLayout w:type="fixed"/>
        <w:tblLook w:firstColumn="1" w:firstRow="1" w:lastColumn="0" w:lastRow="0" w:noHBand="0" w:noVBand="1" w:val="04A0"/>
      </w:tblPr>
      <w:tblGrid>
        <w:gridCol w:w="1584"/>
        <w:gridCol w:w="1584"/>
        <w:gridCol w:w="864"/>
        <w:gridCol w:w="864"/>
        <w:gridCol w:w="864"/>
        <w:gridCol w:w="864"/>
        <w:gridCol w:w="1296"/>
        <w:gridCol w:w="1872"/>
      </w:tblGrid>
      <w:tr>
        <w:tc>
          <w:tcPr>
            <w:tcW w:type="dxa" w:w="1584"/>
            <w:shd w:val="clear" w:color="auto" w:fill="1F2D3D"/>
            <w:tcBorders>
              <w:top w:sz="4" w:val="single" w:color="CCCCCC"/>
              <w:left w:sz="4" w:val="single" w:color="CCCCCC"/>
              <w:bottom w:sz="4" w:val="single" w:color="CCCCCC"/>
              <w:right w:sz="4" w:val="single" w:color="CCCCCC"/>
            </w:tcBorders>
          </w:tcPr>
          <w:p>
            <w:r>
              <w:rPr>
                <w:b/>
                <w:color w:val="FFFFFF"/>
                <w:sz w:val="17"/>
              </w:rPr>
              <w:t>Department</w:t>
            </w:r>
          </w:p>
        </w:tc>
        <w:tc>
          <w:tcPr>
            <w:tcW w:type="dxa" w:w="1584"/>
            <w:shd w:val="clear" w:color="auto" w:fill="1F2D3D"/>
            <w:tcBorders>
              <w:top w:sz="4" w:val="single" w:color="CCCCCC"/>
              <w:left w:sz="4" w:val="single" w:color="CCCCCC"/>
              <w:bottom w:sz="4" w:val="single" w:color="CCCCCC"/>
              <w:right w:sz="4" w:val="single" w:color="CCCCCC"/>
            </w:tcBorders>
          </w:tcPr>
          <w:p>
            <w:r>
              <w:rPr>
                <w:b/>
                <w:color w:val="FFFFFF"/>
                <w:sz w:val="17"/>
              </w:rPr>
              <w:t>Title / Role</w:t>
            </w:r>
          </w:p>
        </w:tc>
        <w:tc>
          <w:tcPr>
            <w:tcW w:type="dxa" w:w="864"/>
            <w:shd w:val="clear" w:color="auto" w:fill="1F2D3D"/>
            <w:tcBorders>
              <w:top w:sz="4" w:val="single" w:color="CCCCCC"/>
              <w:left w:sz="4" w:val="single" w:color="CCCCCC"/>
              <w:bottom w:sz="4" w:val="single" w:color="CCCCCC"/>
              <w:right w:sz="4" w:val="single" w:color="CCCCCC"/>
            </w:tcBorders>
          </w:tcPr>
          <w:p>
            <w:r>
              <w:rPr>
                <w:b/>
                <w:color w:val="FFFFFF"/>
                <w:sz w:val="17"/>
              </w:rPr>
              <w:t>Today</w:t>
            </w:r>
          </w:p>
        </w:tc>
        <w:tc>
          <w:tcPr>
            <w:tcW w:type="dxa" w:w="864"/>
            <w:shd w:val="clear" w:color="auto" w:fill="1F2D3D"/>
            <w:tcBorders>
              <w:top w:sz="4" w:val="single" w:color="CCCCCC"/>
              <w:left w:sz="4" w:val="single" w:color="CCCCCC"/>
              <w:bottom w:sz="4" w:val="single" w:color="CCCCCC"/>
              <w:right w:sz="4" w:val="single" w:color="CCCCCC"/>
            </w:tcBorders>
          </w:tcPr>
          <w:p>
            <w:r>
              <w:rPr>
                <w:b/>
                <w:color w:val="FFFFFF"/>
                <w:sz w:val="17"/>
              </w:rPr>
              <w:t>Year 1</w:t>
            </w:r>
          </w:p>
        </w:tc>
        <w:tc>
          <w:tcPr>
            <w:tcW w:type="dxa" w:w="864"/>
            <w:shd w:val="clear" w:color="auto" w:fill="1F2D3D"/>
            <w:tcBorders>
              <w:top w:sz="4" w:val="single" w:color="CCCCCC"/>
              <w:left w:sz="4" w:val="single" w:color="CCCCCC"/>
              <w:bottom w:sz="4" w:val="single" w:color="CCCCCC"/>
              <w:right w:sz="4" w:val="single" w:color="CCCCCC"/>
            </w:tcBorders>
          </w:tcPr>
          <w:p>
            <w:r>
              <w:rPr>
                <w:b/>
                <w:color w:val="FFFFFF"/>
                <w:sz w:val="17"/>
              </w:rPr>
              <w:t>Year 3</w:t>
            </w:r>
          </w:p>
        </w:tc>
        <w:tc>
          <w:tcPr>
            <w:tcW w:type="dxa" w:w="864"/>
            <w:shd w:val="clear" w:color="auto" w:fill="1F2D3D"/>
            <w:tcBorders>
              <w:top w:sz="4" w:val="single" w:color="CCCCCC"/>
              <w:left w:sz="4" w:val="single" w:color="CCCCCC"/>
              <w:bottom w:sz="4" w:val="single" w:color="CCCCCC"/>
              <w:right w:sz="4" w:val="single" w:color="CCCCCC"/>
            </w:tcBorders>
          </w:tcPr>
          <w:p>
            <w:r>
              <w:rPr>
                <w:b/>
                <w:color w:val="FFFFFF"/>
                <w:sz w:val="17"/>
              </w:rPr>
              <w:t>Year 5</w:t>
            </w:r>
          </w:p>
        </w:tc>
        <w:tc>
          <w:tcPr>
            <w:tcW w:type="dxa" w:w="1296"/>
            <w:shd w:val="clear" w:color="auto" w:fill="1F2D3D"/>
            <w:tcBorders>
              <w:top w:sz="4" w:val="single" w:color="CCCCCC"/>
              <w:left w:sz="4" w:val="single" w:color="CCCCCC"/>
              <w:bottom w:sz="4" w:val="single" w:color="CCCCCC"/>
              <w:right w:sz="4" w:val="single" w:color="CCCCCC"/>
            </w:tcBorders>
          </w:tcPr>
          <w:p>
            <w:r>
              <w:rPr>
                <w:b/>
                <w:color w:val="FFFFFF"/>
                <w:sz w:val="17"/>
              </w:rPr>
              <w:t>Shift (if applicable)</w:t>
            </w:r>
          </w:p>
        </w:tc>
        <w:tc>
          <w:tcPr>
            <w:tcW w:type="dxa" w:w="1872"/>
            <w:shd w:val="clear" w:color="auto" w:fill="1F2D3D"/>
            <w:tcBorders>
              <w:top w:sz="4" w:val="single" w:color="CCCCCC"/>
              <w:left w:sz="4" w:val="single" w:color="CCCCCC"/>
              <w:bottom w:sz="4" w:val="single" w:color="CCCCCC"/>
              <w:right w:sz="4" w:val="single" w:color="CCCCCC"/>
            </w:tcBorders>
          </w:tcPr>
          <w:p>
            <w:r>
              <w:rPr>
                <w:b/>
                <w:color w:val="FFFFFF"/>
                <w:sz w:val="17"/>
              </w:rPr>
              <w:t>Growth Driver / Notes</w:t>
            </w: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584"/>
            <w:shd w:val="clear" w:color="auto" w:fill="F2F2F0"/>
            <w:tcBorders>
              <w:top w:sz="4" w:val="single" w:color="CCCCCC"/>
              <w:left w:sz="4" w:val="single" w:color="CCCCCC"/>
              <w:bottom w:sz="4" w:val="single" w:color="CCCCCC"/>
              <w:right w:sz="4" w:val="single" w:color="CCCCCC"/>
            </w:tcBorders>
          </w:tcPr>
          <w:p>
            <w:r>
              <w:rPr>
                <w:b/>
              </w:rPr>
              <w:t>TOTAL</w:t>
            </w:r>
          </w:p>
        </w:tc>
        <w:tc>
          <w:tcPr>
            <w:tcW w:type="dxa" w:w="1584"/>
            <w:shd w:val="clear" w:color="auto" w:fill="F2F2F0"/>
            <w:tcBorders>
              <w:top w:sz="4" w:val="single" w:color="CCCCCC"/>
              <w:left w:sz="4" w:val="single" w:color="CCCCCC"/>
              <w:bottom w:sz="4" w:val="single" w:color="CCCCCC"/>
              <w:right w:sz="4" w:val="single" w:color="CCCCCC"/>
            </w:tcBorders>
          </w:tcPr>
          <w:p/>
        </w:tc>
        <w:tc>
          <w:tcPr>
            <w:tcW w:type="dxa" w:w="864"/>
            <w:shd w:val="clear" w:color="auto" w:fill="F2F2F0"/>
            <w:tcBorders>
              <w:top w:sz="4" w:val="single" w:color="CCCCCC"/>
              <w:left w:sz="4" w:val="single" w:color="CCCCCC"/>
              <w:bottom w:sz="4" w:val="single" w:color="CCCCCC"/>
              <w:right w:sz="4" w:val="single" w:color="CCCCCC"/>
            </w:tcBorders>
          </w:tcPr>
          <w:p/>
        </w:tc>
        <w:tc>
          <w:tcPr>
            <w:tcW w:type="dxa" w:w="864"/>
            <w:shd w:val="clear" w:color="auto" w:fill="F2F2F0"/>
            <w:tcBorders>
              <w:top w:sz="4" w:val="single" w:color="CCCCCC"/>
              <w:left w:sz="4" w:val="single" w:color="CCCCCC"/>
              <w:bottom w:sz="4" w:val="single" w:color="CCCCCC"/>
              <w:right w:sz="4" w:val="single" w:color="CCCCCC"/>
            </w:tcBorders>
          </w:tcPr>
          <w:p/>
        </w:tc>
        <w:tc>
          <w:tcPr>
            <w:tcW w:type="dxa" w:w="864"/>
            <w:shd w:val="clear" w:color="auto" w:fill="F2F2F0"/>
            <w:tcBorders>
              <w:top w:sz="4" w:val="single" w:color="CCCCCC"/>
              <w:left w:sz="4" w:val="single" w:color="CCCCCC"/>
              <w:bottom w:sz="4" w:val="single" w:color="CCCCCC"/>
              <w:right w:sz="4" w:val="single" w:color="CCCCCC"/>
            </w:tcBorders>
          </w:tcPr>
          <w:p/>
        </w:tc>
        <w:tc>
          <w:tcPr>
            <w:tcW w:type="dxa" w:w="864"/>
            <w:shd w:val="clear" w:color="auto" w:fill="F2F2F0"/>
            <w:tcBorders>
              <w:top w:sz="4" w:val="single" w:color="CCCCCC"/>
              <w:left w:sz="4" w:val="single" w:color="CCCCCC"/>
              <w:bottom w:sz="4" w:val="single" w:color="CCCCCC"/>
              <w:right w:sz="4" w:val="single" w:color="CCCCCC"/>
            </w:tcBorders>
          </w:tcPr>
          <w:p/>
        </w:tc>
        <w:tc>
          <w:tcPr>
            <w:tcW w:type="dxa" w:w="1296"/>
            <w:shd w:val="clear" w:color="auto" w:fill="F2F2F0"/>
            <w:tcBorders>
              <w:top w:sz="4" w:val="single" w:color="CCCCCC"/>
              <w:left w:sz="4" w:val="single" w:color="CCCCCC"/>
              <w:bottom w:sz="4" w:val="single" w:color="CCCCCC"/>
              <w:right w:sz="4" w:val="single" w:color="CCCCCC"/>
            </w:tcBorders>
          </w:tcPr>
          <w:p/>
        </w:tc>
        <w:tc>
          <w:tcPr>
            <w:tcW w:type="dxa" w:w="1872"/>
            <w:shd w:val="clear" w:color="auto" w:fill="F2F2F0"/>
            <w:tcBorders>
              <w:top w:sz="4" w:val="single" w:color="CCCCCC"/>
              <w:left w:sz="4" w:val="single" w:color="CCCCCC"/>
              <w:bottom w:sz="4" w:val="single" w:color="CCCCCC"/>
              <w:right w:sz="4" w:val="single" w:color="CCCCCC"/>
            </w:tcBorders>
          </w:tcPr>
          <w:p/>
        </w:tc>
      </w:tr>
    </w:tbl>
    <w:tbl>
      <w:tblPr>
        <w:tblW w:type="auto" w:w="0"/>
        <w:tblLayout w:type="fixed"/>
        <w:tblLook w:firstColumn="1" w:firstRow="1" w:lastColumn="0" w:lastRow="0" w:noHBand="0" w:noVBand="1" w:val="04A0"/>
      </w:tblPr>
      <w:tblGrid>
        <w:gridCol w:w="3312"/>
        <w:gridCol w:w="6192"/>
      </w:tblGrid>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Total Headcount — Today</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Total Headcount — Year 1</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Total Headcount — Year 3</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Total Headcount — Year 5</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Peak Shift Overlap (if multi-shift)</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The largest number of people on site at once, not the sum of all shifts — this is the number Part B below should be sized against, not the all-shift total</w:t>
            </w:r>
          </w:p>
          <w:p>
            <w:pPr>
              <w:spacing w:after="20"/>
            </w:pPr>
          </w:p>
        </w:tc>
      </w:tr>
    </w:tbl>
    <w:p>
      <w:pPr>
        <w:spacing w:before="280" w:after="120"/>
        <w:pBdr>
          <w:bottom w:val="single" w:sz="6" w:space="2" w:color="B8862E"/>
        </w:pBdr>
      </w:pPr>
      <w:r>
        <w:rPr>
          <w:b/>
          <w:color w:val="1F2D3D"/>
          <w:sz w:val="26"/>
        </w:rPr>
        <w:t>Part B — Amenity &amp; Support Space Sizing</w:t>
      </w:r>
    </w:p>
    <w:p>
      <w:pPr>
        <w:spacing w:after="160"/>
      </w:pPr>
      <w:r>
        <w:rPr>
          <w:b w:val="0"/>
          <w:i w:val="0"/>
          <w:sz w:val="19"/>
        </w:rPr>
        <w:t>Turn the headcount above into the specific counts that actually get built — parking spaces, workstations, restroom fixtures, and break/cafeteria seats. Size each against Peak Shift Overlap, not total headcount, unless noted otherwise. State the ratio or code basis you used so it can be checked later, not just the resulting number.</w:t>
      </w:r>
    </w:p>
    <w:tbl>
      <w:tblPr>
        <w:tblW w:type="auto" w:w="0"/>
        <w:tblLayout w:type="fixed"/>
        <w:tblLook w:firstColumn="1" w:firstRow="1" w:lastColumn="0" w:lastRow="0" w:noHBand="0" w:noVBand="1" w:val="04A0"/>
      </w:tblPr>
      <w:tblGrid>
        <w:gridCol w:w="2016"/>
        <w:gridCol w:w="2448"/>
        <w:gridCol w:w="864"/>
        <w:gridCol w:w="864"/>
        <w:gridCol w:w="864"/>
        <w:gridCol w:w="864"/>
        <w:gridCol w:w="1728"/>
      </w:tblGrid>
      <w:tr>
        <w:tc>
          <w:tcPr>
            <w:tcW w:type="dxa" w:w="2016"/>
            <w:shd w:val="clear" w:color="auto" w:fill="1F2D3D"/>
            <w:tcBorders>
              <w:top w:sz="4" w:val="single" w:color="CCCCCC"/>
              <w:left w:sz="4" w:val="single" w:color="CCCCCC"/>
              <w:bottom w:sz="4" w:val="single" w:color="CCCCCC"/>
              <w:right w:sz="4" w:val="single" w:color="CCCCCC"/>
            </w:tcBorders>
          </w:tcPr>
          <w:p>
            <w:r>
              <w:rPr>
                <w:b/>
                <w:color w:val="FFFFFF"/>
                <w:sz w:val="17"/>
              </w:rPr>
              <w:t>Amenity / Support Need</w:t>
            </w:r>
          </w:p>
        </w:tc>
        <w:tc>
          <w:tcPr>
            <w:tcW w:type="dxa" w:w="2448"/>
            <w:shd w:val="clear" w:color="auto" w:fill="1F2D3D"/>
            <w:tcBorders>
              <w:top w:sz="4" w:val="single" w:color="CCCCCC"/>
              <w:left w:sz="4" w:val="single" w:color="CCCCCC"/>
              <w:bottom w:sz="4" w:val="single" w:color="CCCCCC"/>
              <w:right w:sz="4" w:val="single" w:color="CCCCCC"/>
            </w:tcBorders>
          </w:tcPr>
          <w:p>
            <w:r>
              <w:rPr>
                <w:b/>
                <w:color w:val="FFFFFF"/>
                <w:sz w:val="17"/>
              </w:rPr>
              <w:t>Basis / Ratio Used</w:t>
            </w:r>
          </w:p>
        </w:tc>
        <w:tc>
          <w:tcPr>
            <w:tcW w:type="dxa" w:w="864"/>
            <w:shd w:val="clear" w:color="auto" w:fill="1F2D3D"/>
            <w:tcBorders>
              <w:top w:sz="4" w:val="single" w:color="CCCCCC"/>
              <w:left w:sz="4" w:val="single" w:color="CCCCCC"/>
              <w:bottom w:sz="4" w:val="single" w:color="CCCCCC"/>
              <w:right w:sz="4" w:val="single" w:color="CCCCCC"/>
            </w:tcBorders>
          </w:tcPr>
          <w:p>
            <w:r>
              <w:rPr>
                <w:b/>
                <w:color w:val="FFFFFF"/>
                <w:sz w:val="17"/>
              </w:rPr>
              <w:t>Today</w:t>
            </w:r>
          </w:p>
        </w:tc>
        <w:tc>
          <w:tcPr>
            <w:tcW w:type="dxa" w:w="864"/>
            <w:shd w:val="clear" w:color="auto" w:fill="1F2D3D"/>
            <w:tcBorders>
              <w:top w:sz="4" w:val="single" w:color="CCCCCC"/>
              <w:left w:sz="4" w:val="single" w:color="CCCCCC"/>
              <w:bottom w:sz="4" w:val="single" w:color="CCCCCC"/>
              <w:right w:sz="4" w:val="single" w:color="CCCCCC"/>
            </w:tcBorders>
          </w:tcPr>
          <w:p>
            <w:r>
              <w:rPr>
                <w:b/>
                <w:color w:val="FFFFFF"/>
                <w:sz w:val="17"/>
              </w:rPr>
              <w:t>Year 1</w:t>
            </w:r>
          </w:p>
        </w:tc>
        <w:tc>
          <w:tcPr>
            <w:tcW w:type="dxa" w:w="864"/>
            <w:shd w:val="clear" w:color="auto" w:fill="1F2D3D"/>
            <w:tcBorders>
              <w:top w:sz="4" w:val="single" w:color="CCCCCC"/>
              <w:left w:sz="4" w:val="single" w:color="CCCCCC"/>
              <w:bottom w:sz="4" w:val="single" w:color="CCCCCC"/>
              <w:right w:sz="4" w:val="single" w:color="CCCCCC"/>
            </w:tcBorders>
          </w:tcPr>
          <w:p>
            <w:r>
              <w:rPr>
                <w:b/>
                <w:color w:val="FFFFFF"/>
                <w:sz w:val="17"/>
              </w:rPr>
              <w:t>Year 3</w:t>
            </w:r>
          </w:p>
        </w:tc>
        <w:tc>
          <w:tcPr>
            <w:tcW w:type="dxa" w:w="864"/>
            <w:shd w:val="clear" w:color="auto" w:fill="1F2D3D"/>
            <w:tcBorders>
              <w:top w:sz="4" w:val="single" w:color="CCCCCC"/>
              <w:left w:sz="4" w:val="single" w:color="CCCCCC"/>
              <w:bottom w:sz="4" w:val="single" w:color="CCCCCC"/>
              <w:right w:sz="4" w:val="single" w:color="CCCCCC"/>
            </w:tcBorders>
          </w:tcPr>
          <w:p>
            <w:r>
              <w:rPr>
                <w:b/>
                <w:color w:val="FFFFFF"/>
                <w:sz w:val="17"/>
              </w:rPr>
              <w:t>Year 5</w:t>
            </w:r>
          </w:p>
        </w:tc>
        <w:tc>
          <w:tcPr>
            <w:tcW w:type="dxa" w:w="1728"/>
            <w:shd w:val="clear" w:color="auto" w:fill="1F2D3D"/>
            <w:tcBorders>
              <w:top w:sz="4" w:val="single" w:color="CCCCCC"/>
              <w:left w:sz="4" w:val="single" w:color="CCCCCC"/>
              <w:bottom w:sz="4" w:val="single" w:color="CCCCCC"/>
              <w:right w:sz="4" w:val="single" w:color="CCCCCC"/>
            </w:tcBorders>
          </w:tcPr>
          <w:p>
            <w:r>
              <w:rPr>
                <w:b/>
                <w:color w:val="FFFFFF"/>
                <w:sz w:val="17"/>
              </w:rPr>
              <w:t>Notes</w:t>
            </w:r>
          </w:p>
        </w:tc>
      </w:tr>
      <w:tr>
        <w:tc>
          <w:tcPr>
            <w:tcW w:type="dxa" w:w="2016"/>
            <w:tcBorders>
              <w:top w:sz="4" w:val="single" w:color="CCCCCC"/>
              <w:left w:sz="4" w:val="single" w:color="CCCCCC"/>
              <w:bottom w:sz="4" w:val="single" w:color="CCCCCC"/>
              <w:right w:sz="4" w:val="single" w:color="CCCCCC"/>
            </w:tcBorders>
          </w:tcPr>
          <w:p>
            <w:r>
              <w:rPr>
                <w:sz w:val="18"/>
              </w:rPr>
              <w:t>Employee Parking</w:t>
            </w:r>
          </w:p>
        </w:tc>
        <w:tc>
          <w:tcPr>
            <w:tcW w:type="dxa" w:w="244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r>
      <w:tr>
        <w:tc>
          <w:tcPr>
            <w:tcW w:type="dxa" w:w="2016"/>
            <w:tcBorders>
              <w:top w:sz="4" w:val="single" w:color="CCCCCC"/>
              <w:left w:sz="4" w:val="single" w:color="CCCCCC"/>
              <w:bottom w:sz="4" w:val="single" w:color="CCCCCC"/>
              <w:right w:sz="4" w:val="single" w:color="CCCCCC"/>
            </w:tcBorders>
          </w:tcPr>
          <w:p>
            <w:r>
              <w:rPr>
                <w:sz w:val="18"/>
              </w:rPr>
              <w:t>Visitor Parking</w:t>
            </w:r>
          </w:p>
        </w:tc>
        <w:tc>
          <w:tcPr>
            <w:tcW w:type="dxa" w:w="244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r>
      <w:tr>
        <w:tc>
          <w:tcPr>
            <w:tcW w:type="dxa" w:w="2016"/>
            <w:tcBorders>
              <w:top w:sz="4" w:val="single" w:color="CCCCCC"/>
              <w:left w:sz="4" w:val="single" w:color="CCCCCC"/>
              <w:bottom w:sz="4" w:val="single" w:color="CCCCCC"/>
              <w:right w:sz="4" w:val="single" w:color="CCCCCC"/>
            </w:tcBorders>
          </w:tcPr>
          <w:p>
            <w:r>
              <w:rPr>
                <w:sz w:val="18"/>
              </w:rPr>
              <w:t>Workstations / Desks (seating)</w:t>
            </w:r>
          </w:p>
        </w:tc>
        <w:tc>
          <w:tcPr>
            <w:tcW w:type="dxa" w:w="244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r>
      <w:tr>
        <w:tc>
          <w:tcPr>
            <w:tcW w:type="dxa" w:w="2016"/>
            <w:tcBorders>
              <w:top w:sz="4" w:val="single" w:color="CCCCCC"/>
              <w:left w:sz="4" w:val="single" w:color="CCCCCC"/>
              <w:bottom w:sz="4" w:val="single" w:color="CCCCCC"/>
              <w:right w:sz="4" w:val="single" w:color="CCCCCC"/>
            </w:tcBorders>
          </w:tcPr>
          <w:p>
            <w:r>
              <w:rPr>
                <w:sz w:val="18"/>
              </w:rPr>
              <w:t>Restroom Fixtures (per applicable code occupancy)</w:t>
            </w:r>
          </w:p>
        </w:tc>
        <w:tc>
          <w:tcPr>
            <w:tcW w:type="dxa" w:w="244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r>
      <w:tr>
        <w:tc>
          <w:tcPr>
            <w:tcW w:type="dxa" w:w="2016"/>
            <w:tcBorders>
              <w:top w:sz="4" w:val="single" w:color="CCCCCC"/>
              <w:left w:sz="4" w:val="single" w:color="CCCCCC"/>
              <w:bottom w:sz="4" w:val="single" w:color="CCCCCC"/>
              <w:right w:sz="4" w:val="single" w:color="CCCCCC"/>
            </w:tcBorders>
          </w:tcPr>
          <w:p>
            <w:r>
              <w:rPr>
                <w:sz w:val="18"/>
              </w:rPr>
              <w:t>Break Room / Lunch Seating</w:t>
            </w:r>
          </w:p>
        </w:tc>
        <w:tc>
          <w:tcPr>
            <w:tcW w:type="dxa" w:w="244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r>
      <w:tr>
        <w:tc>
          <w:tcPr>
            <w:tcW w:type="dxa" w:w="2016"/>
            <w:tcBorders>
              <w:top w:sz="4" w:val="single" w:color="CCCCCC"/>
              <w:left w:sz="4" w:val="single" w:color="CCCCCC"/>
              <w:bottom w:sz="4" w:val="single" w:color="CCCCCC"/>
              <w:right w:sz="4" w:val="single" w:color="CCCCCC"/>
            </w:tcBorders>
          </w:tcPr>
          <w:p>
            <w:r>
              <w:rPr>
                <w:sz w:val="18"/>
              </w:rPr>
              <w:t>Cafeteria Seating (if applicable)</w:t>
            </w:r>
          </w:p>
        </w:tc>
        <w:tc>
          <w:tcPr>
            <w:tcW w:type="dxa" w:w="244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r>
      <w:tr>
        <w:tc>
          <w:tcPr>
            <w:tcW w:type="dxa" w:w="2016"/>
            <w:tcBorders>
              <w:top w:sz="4" w:val="single" w:color="CCCCCC"/>
              <w:left w:sz="4" w:val="single" w:color="CCCCCC"/>
              <w:bottom w:sz="4" w:val="single" w:color="CCCCCC"/>
              <w:right w:sz="4" w:val="single" w:color="CCCCCC"/>
            </w:tcBorders>
          </w:tcPr>
          <w:p>
            <w:r>
              <w:rPr>
                <w:sz w:val="18"/>
              </w:rPr>
              <w:t>Locker / Changing Facilities (if applicable)</w:t>
            </w:r>
          </w:p>
        </w:tc>
        <w:tc>
          <w:tcPr>
            <w:tcW w:type="dxa" w:w="244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r>
      <w:tr>
        <w:tc>
          <w:tcPr>
            <w:tcW w:type="dxa" w:w="2016"/>
            <w:tcBorders>
              <w:top w:sz="4" w:val="single" w:color="CCCCCC"/>
              <w:left w:sz="4" w:val="single" w:color="CCCCCC"/>
              <w:bottom w:sz="4" w:val="single" w:color="CCCCCC"/>
              <w:right w:sz="4" w:val="single" w:color="CCCCCC"/>
            </w:tcBorders>
          </w:tcPr>
          <w:p>
            <w:r>
              <w:rPr>
                <w:sz w:val="18"/>
              </w:rPr>
              <w:t>Other (site-specific)</w:t>
            </w:r>
          </w:p>
        </w:tc>
        <w:tc>
          <w:tcPr>
            <w:tcW w:type="dxa" w:w="244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r>
    </w:tbl>
    <w:p>
      <w:pPr>
        <w:spacing w:after="80"/>
      </w:pPr>
    </w:p>
    <w:p>
      <w:pPr>
        <w:spacing w:after="160"/>
      </w:pPr>
      <w:r>
        <w:rPr>
          <w:b w:val="0"/>
          <w:i w:val="0"/>
          <w:sz w:val="17"/>
        </w:rPr>
        <w:t>Common starting ratios (confirm against your own code and client standard before using): parking 1 space per employee on the peak shift plus roughly 10% for visitors, unless transit or shift-overlap data says otherwise; desking anywhere from 1:1 to a shared-desk ratio if hoteling is in use; restroom fixture counts are set by the applicable building code's occupancy tables, not a rule of thumb; break/cafeteria seating is typically sized to a fraction of peak shift headcount eating in shifts, not 100% simultaneous seating, unless the client's culture requires it.</w:t>
      </w:r>
    </w:p>
    <w:p>
      <w:pPr>
        <w:spacing w:before="280" w:after="120"/>
        <w:pBdr>
          <w:bottom w:val="single" w:sz="6" w:space="2" w:color="B8862E"/>
        </w:pBdr>
      </w:pPr>
      <w:r>
        <w:rPr>
          <w:b/>
          <w:color w:val="1F2D3D"/>
          <w:sz w:val="26"/>
        </w:rPr>
        <w:t>What This Drives Downstream</w:t>
      </w:r>
    </w:p>
    <w:p>
      <w:pPr>
        <w:spacing w:after="160"/>
      </w:pPr>
      <w:r>
        <w:rPr>
          <w:b w:val="0"/>
          <w:i w:val="0"/>
          <w:sz w:val="18"/>
        </w:rPr>
        <w:t>Cross-check the totals above against: parking and site circulation (Site &amp; Circulation Flow Worksheet), office/support space (Activity List &amp; Space Requirements Worksheet, refined on the Space &amp; Density Worksheet), and the restroom/break/cafeteria areas on the Activity List. A headcount or amenity number that changes later without updating those forms is a quiet source of underbuilt space.</w:t>
      </w:r>
    </w:p>
    <w:tbl>
      <w:tblPr>
        <w:tblW w:type="auto" w:w="0"/>
        <w:tblLayout w:type="fixed"/>
        <w:tblLook w:firstColumn="1" w:firstRow="1" w:lastColumn="0" w:lastRow="0" w:noHBand="0" w:noVBand="1" w:val="04A0"/>
      </w:tblPr>
      <w:tblGrid>
        <w:gridCol w:w="3312"/>
        <w:gridCol w:w="6192"/>
      </w:tblGrid>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Key Growth Assumptions</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What's driving growth or contraction by department — a new program, automation, a planned shift addition, etc.</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Prepared By / Date</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bl>
    <w:p>
      <w:pPr>
        <w:spacing w:before="0" w:after="0"/>
        <w:rPr>
          <w:sz w:val="2"/>
        </w:rPr>
      </w:pPr>
    </w:p>
    <w:sectPr w:rsidR="00FC693F" w:rsidRPr="0006063C" w:rsidSect="00034616">
      <w:footerReference w:type="default" r:id="rId9"/>
      <w:pgSz w:w="12240" w:h="15840"/>
      <w:pgMar w:top="1008" w:right="1296" w:bottom="1008"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555555"/>
        <w:sz w:val="17"/>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