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2 OF 4 · DEFINE THE SCOPE</w:t>
      </w:r>
    </w:p>
    <w:p>
      <w:pPr>
        <w:spacing w:after="40"/>
      </w:pPr>
      <w:r>
        <w:rPr>
          <w:b/>
          <w:color w:val="1F2D3D"/>
          <w:sz w:val="40"/>
        </w:rPr>
        <w:t>Operating Sequence and Routing Worksheet</w:t>
      </w:r>
    </w:p>
    <w:p>
      <w:pPr>
        <w:spacing w:after="240"/>
      </w:pPr>
      <w:r>
        <w:rPr>
          <w:i/>
          <w:color w:val="B8862E"/>
          <w:sz w:val="24"/>
        </w:rPr>
        <w:t>Phase 2 — Define the Scope (Gate 2: Scope Locked — Non-Compensable Gate)</w:t>
      </w:r>
    </w:p>
    <w:p>
      <w:pPr>
        <w:spacing w:after="160"/>
      </w:pPr>
      <w:r>
        <w:rPr>
          <w:b w:val="0"/>
          <w:i w:val="0"/>
          <w:sz w:val="19"/>
        </w:rPr>
        <w:t>Two levels: the operating sequence — required order of operations, branches, rework loops, shared-resource dependencies, current-vs-future-state changes, and peak-condition routing, validated by the people who actually run the process — and, where capacity modeling needs it, resource-level routings by product, service family, or demand stream. This is upstream of the Relationship Chart, Flow Analysis, and Capacity Model Worksheet, not a subset of any of them: it establishes the mandatory order, dependencies, and routing data those then have to accommodate or consume (Form 11 references routings here by Routing ID rather than re-deriving them).</w:t>
      </w:r>
    </w:p>
    <w:p>
      <w:pPr>
        <w:spacing w:before="280" w:after="120"/>
        <w:pBdr>
          <w:bottom w:val="single" w:sz="6" w:space="2" w:color="B8862E"/>
        </w:pBdr>
      </w:pPr>
      <w:r>
        <w:rPr>
          <w:b/>
          <w:color w:val="1F2D3D"/>
          <w:sz w:val="26"/>
        </w:rPr>
        <w:t>Part A — Primary Activity / Process Sequence</w:t>
      </w:r>
    </w:p>
    <w:p>
      <w:pPr>
        <w:spacing w:after="160"/>
      </w:pPr>
      <w:r>
        <w:rPr>
          <w:b w:val="0"/>
          <w:i w:val="0"/>
          <w:sz w:val="18"/>
        </w:rPr>
        <w:t>The required order of major activities or process steps, at the level that actually drives layout and adjacency — not a procedure.</w:t>
      </w:r>
    </w:p>
    <w:tbl>
      <w:tblPr>
        <w:tblW w:type="auto" w:w="0"/>
        <w:tblLayout w:type="fixed"/>
        <w:tblLook w:firstColumn="1" w:firstRow="1" w:lastColumn="0" w:lastRow="0" w:noHBand="0" w:noVBand="1" w:val="04A0"/>
      </w:tblPr>
      <w:tblGrid>
        <w:gridCol w:w="1728"/>
        <w:gridCol w:w="2304"/>
        <w:gridCol w:w="1152"/>
        <w:gridCol w:w="2016"/>
        <w:gridCol w:w="1872"/>
      </w:tblGrid>
      <w:tr>
        <w:tc>
          <w:tcPr>
            <w:tcW w:type="dxa" w:w="1728"/>
            <w:shd w:val="clear" w:color="auto" w:fill="1F2D3D"/>
            <w:tcBorders>
              <w:top w:sz="4" w:val="single" w:color="CCCCCC"/>
              <w:left w:sz="4" w:val="single" w:color="CCCCCC"/>
              <w:bottom w:sz="4" w:val="single" w:color="CCCCCC"/>
              <w:right w:sz="4" w:val="single" w:color="CCCCCC"/>
            </w:tcBorders>
          </w:tcPr>
          <w:p>
            <w:r>
              <w:rPr>
                <w:b/>
                <w:color w:val="FFFFFF"/>
                <w:sz w:val="17"/>
              </w:rPr>
              <w:t>Process / Product / Service Line</w:t>
            </w:r>
          </w:p>
        </w:tc>
        <w:tc>
          <w:tcPr>
            <w:tcW w:type="dxa" w:w="2304"/>
            <w:shd w:val="clear" w:color="auto" w:fill="1F2D3D"/>
            <w:tcBorders>
              <w:top w:sz="4" w:val="single" w:color="CCCCCC"/>
              <w:left w:sz="4" w:val="single" w:color="CCCCCC"/>
              <w:bottom w:sz="4" w:val="single" w:color="CCCCCC"/>
              <w:right w:sz="4" w:val="single" w:color="CCCCCC"/>
            </w:tcBorders>
          </w:tcPr>
          <w:p>
            <w:r>
              <w:rPr>
                <w:b/>
                <w:color w:val="FFFFFF"/>
                <w:sz w:val="17"/>
              </w:rPr>
              <w:t>Required Sequence (major steps, in order)</w:t>
            </w:r>
          </w:p>
        </w:tc>
        <w:tc>
          <w:tcPr>
            <w:tcW w:type="dxa" w:w="1152"/>
            <w:shd w:val="clear" w:color="auto" w:fill="1F2D3D"/>
            <w:tcBorders>
              <w:top w:sz="4" w:val="single" w:color="CCCCCC"/>
              <w:left w:sz="4" w:val="single" w:color="CCCCCC"/>
              <w:bottom w:sz="4" w:val="single" w:color="CCCCCC"/>
              <w:right w:sz="4" w:val="single" w:color="CCCCCC"/>
            </w:tcBorders>
          </w:tcPr>
          <w:p>
            <w:r>
              <w:rPr>
                <w:b/>
                <w:color w:val="FFFFFF"/>
                <w:sz w:val="17"/>
              </w:rPr>
              <w:t>Mandatory or Preferred?</w:t>
            </w:r>
          </w:p>
        </w:tc>
        <w:tc>
          <w:tcPr>
            <w:tcW w:type="dxa" w:w="2016"/>
            <w:shd w:val="clear" w:color="auto" w:fill="1F2D3D"/>
            <w:tcBorders>
              <w:top w:sz="4" w:val="single" w:color="CCCCCC"/>
              <w:left w:sz="4" w:val="single" w:color="CCCCCC"/>
              <w:bottom w:sz="4" w:val="single" w:color="CCCCCC"/>
              <w:right w:sz="4" w:val="single" w:color="CCCCCC"/>
            </w:tcBorders>
          </w:tcPr>
          <w:p>
            <w:r>
              <w:rPr>
                <w:b/>
                <w:color w:val="FFFFFF"/>
                <w:sz w:val="17"/>
              </w:rPr>
              <w:t>Why (safety, quality, regulatory, contamination control, etc.)</w:t>
            </w:r>
          </w:p>
        </w:tc>
        <w:tc>
          <w:tcPr>
            <w:tcW w:type="dxa" w:w="1872"/>
            <w:shd w:val="clear" w:color="auto" w:fill="1F2D3D"/>
            <w:tcBorders>
              <w:top w:sz="4" w:val="single" w:color="CCCCCC"/>
              <w:left w:sz="4" w:val="single" w:color="CCCCCC"/>
              <w:bottom w:sz="4" w:val="single" w:color="CCCCCC"/>
              <w:right w:sz="4" w:val="single" w:color="CCCCCC"/>
            </w:tcBorders>
          </w:tcPr>
          <w:p>
            <w:r>
              <w:rPr>
                <w:b/>
                <w:color w:val="FFFFFF"/>
                <w:sz w:val="17"/>
              </w:rPr>
              <w:t>Layout / Flow Implication</w:t>
            </w:r>
          </w:p>
        </w:tc>
      </w:tr>
      <w:tr>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1152"/>
            <w:tcBorders>
              <w:top w:sz="4" w:val="single" w:color="CCCCCC"/>
              <w:left w:sz="4" w:val="single" w:color="CCCCCC"/>
              <w:bottom w:sz="4" w:val="single" w:color="CCCCCC"/>
              <w:right w:sz="4" w:val="single" w:color="CCCCCC"/>
            </w:tcBorders>
          </w:tcPr>
          <w:p/>
        </w:tc>
        <w:tc>
          <w:tcPr>
            <w:tcW w:type="dxa" w:w="2016"/>
            <w:tcBorders>
              <w:top w:sz="4" w:val="single" w:color="CCCCCC"/>
              <w:left w:sz="4" w:val="single" w:color="CCCCCC"/>
              <w:bottom w:sz="4" w:val="single" w:color="CCCCCC"/>
              <w:right w:sz="4" w:val="single" w:color="CCCCCC"/>
            </w:tcBorders>
          </w:tcPr>
          <w:p/>
        </w:tc>
        <w:tc>
          <w:tcPr>
            <w:tcW w:type="dxa" w:w="1872"/>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B — Resource-Level Routings (by Product / Service Family / Demand Stream)</w:t>
      </w:r>
    </w:p>
    <w:p>
      <w:pPr>
        <w:spacing w:after="160"/>
      </w:pPr>
      <w:r>
        <w:rPr>
          <w:b w:val="0"/>
          <w:i w:val="0"/>
          <w:sz w:val="18"/>
        </w:rPr>
        <w:t>For each product, service family, or demand stream, the specific operations or resources it visits, in order, and how often — one row per operation, grouped under a shared Routing ID. This is what the Capacity Model Worksheet (Form 11) needs to calculate load at each shared resource; Form 11 references routings by Routing ID rather than re-deriving them, so keep this table as the single source of truth for routing data rather than maintaining a second copy there. "Visits per Unit" and "Routing or Branch Share %" are two different measures, not one — Form 11's load calculation needs both separately. Planning Horizon (Current / Future — state the year) and Demand Condition (Expected / Peak) are two separate dimensions, not one combined state: a project can have a future-peak case, and that needs its own row with both fields set accordingly, not an approximation built by reading the separate Future and Peak rows together. Form 11's scenario testing (Part E) pulls rows by these two fields directly — Demand Condition = Peak for the Peak scenario, Planning Horizon = Future for the Future-Growth scenario. Within each product/service family, planning horizon, and demand condition, Routing or Branch Share % must total 100% across every branch splitting at that point — a branch set that sums above or below 100% means the branches don't actually account for all the demand passing through that split, and Form 11's load calculation downstream will overstate or understate it accordingly. Add rows as needed for additional routings — this worksheet template shows a starting block.</w:t>
      </w:r>
    </w:p>
    <w:tbl>
      <w:tblPr>
        <w:tblW w:type="auto" w:w="0"/>
        <w:tblLayout w:type="fixed"/>
        <w:tblLook w:firstColumn="1" w:firstRow="1" w:lastColumn="0" w:lastRow="0" w:noHBand="0" w:noVBand="1" w:val="04A0"/>
      </w:tblPr>
      <w:tblGrid>
        <w:gridCol w:w="792"/>
        <w:gridCol w:w="1440"/>
        <w:gridCol w:w="432"/>
        <w:gridCol w:w="1296"/>
        <w:gridCol w:w="1224"/>
        <w:gridCol w:w="1080"/>
        <w:gridCol w:w="936"/>
        <w:gridCol w:w="1224"/>
        <w:gridCol w:w="1224"/>
      </w:tblGrid>
      <w:tr>
        <w:trPr>
          <w:cantSplit w:val="true"/>
          <w:tblHeader w:val="true"/>
        </w:trPr>
        <w:tc>
          <w:tcPr>
            <w:tcW w:type="dxa" w:w="792"/>
            <w:shd w:val="clear" w:color="auto" w:fill="1F2D3D"/>
            <w:tcBorders>
              <w:top w:sz="4" w:val="single" w:color="CCCCCC"/>
              <w:left w:sz="4" w:val="single" w:color="CCCCCC"/>
              <w:bottom w:sz="4" w:val="single" w:color="CCCCCC"/>
              <w:right w:sz="4" w:val="single" w:color="CCCCCC"/>
            </w:tcBorders>
          </w:tcPr>
          <w:p>
            <w:r>
              <w:rPr>
                <w:b/>
                <w:color w:val="FFFFFF"/>
                <w:sz w:val="17"/>
              </w:rPr>
              <w:t>Routing ID</w:t>
            </w:r>
          </w:p>
        </w:tc>
        <w:tc>
          <w:tcPr>
            <w:tcW w:type="dxa" w:w="1440"/>
            <w:shd w:val="clear" w:color="auto" w:fill="1F2D3D"/>
            <w:tcBorders>
              <w:top w:sz="4" w:val="single" w:color="CCCCCC"/>
              <w:left w:sz="4" w:val="single" w:color="CCCCCC"/>
              <w:bottom w:sz="4" w:val="single" w:color="CCCCCC"/>
              <w:right w:sz="4" w:val="single" w:color="CCCCCC"/>
            </w:tcBorders>
          </w:tcPr>
          <w:p>
            <w:r>
              <w:rPr>
                <w:b/>
                <w:color w:val="FFFFFF"/>
                <w:sz w:val="17"/>
              </w:rPr>
              <w:t>Product / Service Family / Demand Stream</w:t>
            </w:r>
          </w:p>
        </w:tc>
        <w:tc>
          <w:tcPr>
            <w:tcW w:type="dxa" w:w="432"/>
            <w:shd w:val="clear" w:color="auto" w:fill="1F2D3D"/>
            <w:tcBorders>
              <w:top w:sz="4" w:val="single" w:color="CCCCCC"/>
              <w:left w:sz="4" w:val="single" w:color="CCCCCC"/>
              <w:bottom w:sz="4" w:val="single" w:color="CCCCCC"/>
              <w:right w:sz="4" w:val="single" w:color="CCCCCC"/>
            </w:tcBorders>
          </w:tcPr>
          <w:p>
            <w:r>
              <w:rPr>
                <w:b/>
                <w:color w:val="FFFFFF"/>
                <w:sz w:val="17"/>
              </w:rPr>
              <w:t>Op. Seq. #</w:t>
            </w:r>
          </w:p>
        </w:tc>
        <w:tc>
          <w:tcPr>
            <w:tcW w:type="dxa" w:w="1296"/>
            <w:shd w:val="clear" w:color="auto" w:fill="1F2D3D"/>
            <w:tcBorders>
              <w:top w:sz="4" w:val="single" w:color="CCCCCC"/>
              <w:left w:sz="4" w:val="single" w:color="CCCCCC"/>
              <w:bottom w:sz="4" w:val="single" w:color="CCCCCC"/>
              <w:right w:sz="4" w:val="single" w:color="CCCCCC"/>
            </w:tcBorders>
          </w:tcPr>
          <w:p>
            <w:r>
              <w:rPr>
                <w:b/>
                <w:color w:val="FFFFFF"/>
                <w:sz w:val="17"/>
              </w:rPr>
              <w:t>Operation / Step</w:t>
            </w:r>
          </w:p>
        </w:tc>
        <w:tc>
          <w:tcPr>
            <w:tcW w:type="dxa" w:w="1224"/>
            <w:shd w:val="clear" w:color="auto" w:fill="1F2D3D"/>
            <w:tcBorders>
              <w:top w:sz="4" w:val="single" w:color="CCCCCC"/>
              <w:left w:sz="4" w:val="single" w:color="CCCCCC"/>
              <w:bottom w:sz="4" w:val="single" w:color="CCCCCC"/>
              <w:right w:sz="4" w:val="single" w:color="CCCCCC"/>
            </w:tcBorders>
          </w:tcPr>
          <w:p>
            <w:r>
              <w:rPr>
                <w:b/>
                <w:color w:val="FFFFFF"/>
                <w:sz w:val="17"/>
              </w:rPr>
              <w:t>Resource or Workstation</w:t>
            </w:r>
          </w:p>
        </w:tc>
        <w:tc>
          <w:tcPr>
            <w:tcW w:type="dxa" w:w="1080"/>
            <w:shd w:val="clear" w:color="auto" w:fill="1F2D3D"/>
            <w:tcBorders>
              <w:top w:sz="4" w:val="single" w:color="CCCCCC"/>
              <w:left w:sz="4" w:val="single" w:color="CCCCCC"/>
              <w:bottom w:sz="4" w:val="single" w:color="CCCCCC"/>
              <w:right w:sz="4" w:val="single" w:color="CCCCCC"/>
            </w:tcBorders>
          </w:tcPr>
          <w:p>
            <w:r>
              <w:rPr>
                <w:b/>
                <w:color w:val="FFFFFF"/>
                <w:sz w:val="17"/>
              </w:rPr>
              <w:t>Visits per Unit / Patient / Transaction / Case</w:t>
            </w:r>
          </w:p>
        </w:tc>
        <w:tc>
          <w:tcPr>
            <w:tcW w:type="dxa" w:w="936"/>
            <w:shd w:val="clear" w:color="auto" w:fill="1F2D3D"/>
            <w:tcBorders>
              <w:top w:sz="4" w:val="single" w:color="CCCCCC"/>
              <w:left w:sz="4" w:val="single" w:color="CCCCCC"/>
              <w:bottom w:sz="4" w:val="single" w:color="CCCCCC"/>
              <w:right w:sz="4" w:val="single" w:color="CCCCCC"/>
            </w:tcBorders>
          </w:tcPr>
          <w:p>
            <w:r>
              <w:rPr>
                <w:b/>
                <w:color w:val="FFFFFF"/>
                <w:sz w:val="17"/>
              </w:rPr>
              <w:t>Routing or Branch Share %</w:t>
            </w:r>
          </w:p>
        </w:tc>
        <w:tc>
          <w:tcPr>
            <w:tcW w:type="dxa" w:w="1224"/>
            <w:shd w:val="clear" w:color="auto" w:fill="1F2D3D"/>
            <w:tcBorders>
              <w:top w:sz="4" w:val="single" w:color="CCCCCC"/>
              <w:left w:sz="4" w:val="single" w:color="CCCCCC"/>
              <w:bottom w:sz="4" w:val="single" w:color="CCCCCC"/>
              <w:right w:sz="4" w:val="single" w:color="CCCCCC"/>
            </w:tcBorders>
          </w:tcPr>
          <w:p>
            <w:r>
              <w:rPr>
                <w:b/>
                <w:color w:val="FFFFFF"/>
                <w:sz w:val="17"/>
              </w:rPr>
              <w:t>Planning Horizon (Current / Future — Year)</w:t>
            </w:r>
          </w:p>
        </w:tc>
        <w:tc>
          <w:tcPr>
            <w:tcW w:type="dxa" w:w="1224"/>
            <w:shd w:val="clear" w:color="auto" w:fill="1F2D3D"/>
            <w:tcBorders>
              <w:top w:sz="4" w:val="single" w:color="CCCCCC"/>
              <w:left w:sz="4" w:val="single" w:color="CCCCCC"/>
              <w:bottom w:sz="4" w:val="single" w:color="CCCCCC"/>
              <w:right w:sz="4" w:val="single" w:color="CCCCCC"/>
            </w:tcBorders>
          </w:tcPr>
          <w:p>
            <w:r>
              <w:rPr>
                <w:b/>
                <w:color w:val="FFFFFF"/>
                <w:sz w:val="17"/>
              </w:rPr>
              <w:t>Demand Condition (Expected / Peak)</w:t>
            </w:r>
          </w:p>
        </w:tc>
      </w:tr>
      <w:tr>
        <w:trPr>
          <w:cantSplit w:val="true"/>
        </w:trPr>
        <w:tc>
          <w:tcPr>
            <w:tcW w:type="dxa" w:w="792"/>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432"/>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r>
      <w:tr>
        <w:trPr>
          <w:cantSplit w:val="true"/>
        </w:trPr>
        <w:tc>
          <w:tcPr>
            <w:tcW w:type="dxa" w:w="792"/>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432"/>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r>
      <w:tr>
        <w:trPr>
          <w:cantSplit w:val="true"/>
        </w:trPr>
        <w:tc>
          <w:tcPr>
            <w:tcW w:type="dxa" w:w="792"/>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432"/>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r>
      <w:tr>
        <w:trPr>
          <w:cantSplit w:val="true"/>
        </w:trPr>
        <w:tc>
          <w:tcPr>
            <w:tcW w:type="dxa" w:w="792"/>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432"/>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r>
      <w:tr>
        <w:trPr>
          <w:cantSplit w:val="true"/>
        </w:trPr>
        <w:tc>
          <w:tcPr>
            <w:tcW w:type="dxa" w:w="792"/>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432"/>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r>
      <w:tr>
        <w:trPr>
          <w:cantSplit w:val="true"/>
        </w:trPr>
        <w:tc>
          <w:tcPr>
            <w:tcW w:type="dxa" w:w="792"/>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432"/>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080"/>
            <w:tcBorders>
              <w:top w:sz="4" w:val="single" w:color="CCCCCC"/>
              <w:left w:sz="4" w:val="single" w:color="CCCCCC"/>
              <w:bottom w:sz="4" w:val="single" w:color="CCCCCC"/>
              <w:right w:sz="4" w:val="single" w:color="CCCCCC"/>
            </w:tcBorders>
          </w:tcPr>
          <w:p/>
        </w:tc>
        <w:tc>
          <w:tcPr>
            <w:tcW w:type="dxa" w:w="936"/>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c>
          <w:tcPr>
            <w:tcW w:type="dxa" w:w="1224"/>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C — Branches, Bypasses, Rework &amp; Return Loops</w:t>
      </w:r>
    </w:p>
    <w:p>
      <w:pPr>
        <w:spacing w:after="160"/>
      </w:pPr>
      <w:r>
        <w:rPr>
          <w:b w:val="0"/>
          <w:i w:val="0"/>
          <w:sz w:val="18"/>
        </w:rPr>
        <w:t>Where the primary sequence splits, skips a step, or sends material or people back to an earlier point. A layout built only for the main path fails the first time something doesn't go as planned.</w:t>
      </w:r>
    </w:p>
    <w:tbl>
      <w:tblPr>
        <w:tblW w:type="auto" w:w="0"/>
        <w:tblLayout w:type="fixed"/>
        <w:tblLook w:firstColumn="1" w:firstRow="1" w:lastColumn="0" w:lastRow="0" w:noHBand="0" w:noVBand="1" w:val="04A0"/>
      </w:tblPr>
      <w:tblGrid>
        <w:gridCol w:w="1728"/>
        <w:gridCol w:w="2736"/>
        <w:gridCol w:w="2160"/>
        <w:gridCol w:w="2448"/>
      </w:tblGrid>
      <w:tr>
        <w:tc>
          <w:tcPr>
            <w:tcW w:type="dxa" w:w="1728"/>
            <w:shd w:val="clear" w:color="auto" w:fill="1F2D3D"/>
            <w:tcBorders>
              <w:top w:sz="4" w:val="single" w:color="CCCCCC"/>
              <w:left w:sz="4" w:val="single" w:color="CCCCCC"/>
              <w:bottom w:sz="4" w:val="single" w:color="CCCCCC"/>
              <w:right w:sz="4" w:val="single" w:color="CCCCCC"/>
            </w:tcBorders>
          </w:tcPr>
          <w:p>
            <w:r>
              <w:rPr>
                <w:b/>
                <w:color w:val="FFFFFF"/>
                <w:sz w:val="17"/>
              </w:rPr>
              <w:t>Process / Sequence</w:t>
            </w:r>
          </w:p>
        </w:tc>
        <w:tc>
          <w:tcPr>
            <w:tcW w:type="dxa" w:w="2736"/>
            <w:shd w:val="clear" w:color="auto" w:fill="1F2D3D"/>
            <w:tcBorders>
              <w:top w:sz="4" w:val="single" w:color="CCCCCC"/>
              <w:left w:sz="4" w:val="single" w:color="CCCCCC"/>
              <w:bottom w:sz="4" w:val="single" w:color="CCCCCC"/>
              <w:right w:sz="4" w:val="single" w:color="CCCCCC"/>
            </w:tcBorders>
          </w:tcPr>
          <w:p>
            <w:r>
              <w:rPr>
                <w:b/>
                <w:color w:val="FFFFFF"/>
                <w:sz w:val="17"/>
              </w:rPr>
              <w:t>Branch, Bypass, or Rework Condition</w:t>
            </w:r>
          </w:p>
        </w:tc>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Where It Rejoins or Terminates</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Layout / Flow Implication</w:t>
            </w:r>
          </w:p>
        </w:tc>
      </w:tr>
      <w:tr>
        <w:tc>
          <w:tcPr>
            <w:tcW w:type="dxa" w:w="1728"/>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D — Shared Resources &amp; Decision Points</w:t>
      </w:r>
    </w:p>
    <w:p>
      <w:pPr>
        <w:spacing w:after="160"/>
      </w:pPr>
      <w:r>
        <w:rPr>
          <w:b w:val="0"/>
          <w:i w:val="0"/>
          <w:sz w:val="18"/>
        </w:rPr>
        <w:t>Equipment, stations, staff, or approvals that more than one sequence depends on — the real source of most layout conflicts and queuing.</w:t>
      </w:r>
    </w:p>
    <w:tbl>
      <w:tblPr>
        <w:tblW w:type="auto" w:w="0"/>
        <w:tblLayout w:type="fixed"/>
        <w:tblLook w:firstColumn="1" w:firstRow="1" w:lastColumn="0" w:lastRow="0" w:noHBand="0" w:noVBand="1" w:val="04A0"/>
      </w:tblPr>
      <w:tblGrid>
        <w:gridCol w:w="2160"/>
        <w:gridCol w:w="2448"/>
        <w:gridCol w:w="2304"/>
        <w:gridCol w:w="2160"/>
      </w:tblGrid>
      <w:tr>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Shared Resource or Decision Point</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Processes / Sequences That Depend On It</w:t>
            </w:r>
          </w:p>
        </w:tc>
        <w:tc>
          <w:tcPr>
            <w:tcW w:type="dxa" w:w="2304"/>
            <w:shd w:val="clear" w:color="auto" w:fill="1F2D3D"/>
            <w:tcBorders>
              <w:top w:sz="4" w:val="single" w:color="CCCCCC"/>
              <w:left w:sz="4" w:val="single" w:color="CCCCCC"/>
              <w:bottom w:sz="4" w:val="single" w:color="CCCCCC"/>
              <w:right w:sz="4" w:val="single" w:color="CCCCCC"/>
            </w:tcBorders>
          </w:tcPr>
          <w:p>
            <w:r>
              <w:rPr>
                <w:b/>
                <w:color w:val="FFFFFF"/>
                <w:sz w:val="17"/>
              </w:rPr>
              <w:t>Nature of the Dependency</w:t>
            </w:r>
          </w:p>
        </w:tc>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Layout / Flow Implication</w:t>
            </w:r>
          </w:p>
        </w:tc>
      </w:tr>
      <w:tr>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r>
      <w:tr>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r>
      <w:tr>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r>
      <w:tr>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r>
      <w:tr>
        <w:tc>
          <w:tcPr>
            <w:tcW w:type="dxa" w:w="2160"/>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304"/>
            <w:tcBorders>
              <w:top w:sz="4" w:val="single" w:color="CCCCCC"/>
              <w:left w:sz="4" w:val="single" w:color="CCCCCC"/>
              <w:bottom w:sz="4" w:val="single" w:color="CCCCCC"/>
              <w:right w:sz="4" w:val="single" w:color="CCCCCC"/>
            </w:tcBorders>
          </w:tcPr>
          <w:p/>
        </w:tc>
        <w:tc>
          <w:tcPr>
            <w:tcW w:type="dxa" w:w="2160"/>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E — Current-State vs. Future-State Differences</w:t>
      </w:r>
    </w:p>
    <w:p>
      <w:pPr>
        <w:spacing w:after="160"/>
      </w:pPr>
      <w:r>
        <w:rPr>
          <w:b w:val="0"/>
          <w:i w:val="0"/>
          <w:sz w:val="18"/>
        </w:rPr>
        <w:t>Where the required sequence today differs from what the selected layout is actually being built for. A layout sized for the current sequence can be obsolete before it's finished if the future sequence isn't captured now.</w:t>
      </w:r>
    </w:p>
    <w:tbl>
      <w:tblPr>
        <w:tblW w:type="auto" w:w="0"/>
        <w:tblLayout w:type="fixed"/>
        <w:tblLook w:firstColumn="1" w:firstRow="1" w:lastColumn="0" w:lastRow="0" w:noHBand="0" w:noVBand="1" w:val="04A0"/>
      </w:tblPr>
      <w:tblGrid>
        <w:gridCol w:w="1728"/>
        <w:gridCol w:w="2448"/>
        <w:gridCol w:w="2448"/>
        <w:gridCol w:w="2448"/>
      </w:tblGrid>
      <w:tr>
        <w:tc>
          <w:tcPr>
            <w:tcW w:type="dxa" w:w="1728"/>
            <w:shd w:val="clear" w:color="auto" w:fill="1F2D3D"/>
            <w:tcBorders>
              <w:top w:sz="4" w:val="single" w:color="CCCCCC"/>
              <w:left w:sz="4" w:val="single" w:color="CCCCCC"/>
              <w:bottom w:sz="4" w:val="single" w:color="CCCCCC"/>
              <w:right w:sz="4" w:val="single" w:color="CCCCCC"/>
            </w:tcBorders>
          </w:tcPr>
          <w:p>
            <w:r>
              <w:rPr>
                <w:b/>
                <w:color w:val="FFFFFF"/>
                <w:sz w:val="17"/>
              </w:rPr>
              <w:t>Process / Sequence</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Current-State Routing</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Future-State Routing</w:t>
            </w:r>
          </w:p>
        </w:tc>
        <w:tc>
          <w:tcPr>
            <w:tcW w:type="dxa" w:w="2448"/>
            <w:shd w:val="clear" w:color="auto" w:fill="1F2D3D"/>
            <w:tcBorders>
              <w:top w:sz="4" w:val="single" w:color="CCCCCC"/>
              <w:left w:sz="4" w:val="single" w:color="CCCCCC"/>
              <w:bottom w:sz="4" w:val="single" w:color="CCCCCC"/>
              <w:right w:sz="4" w:val="single" w:color="CCCCCC"/>
            </w:tcBorders>
          </w:tcPr>
          <w:p>
            <w:r>
              <w:rPr>
                <w:b/>
                <w:color w:val="FFFFFF"/>
                <w:sz w:val="17"/>
              </w:rPr>
              <w:t>What Changes in the Layout</w:t>
            </w:r>
          </w:p>
        </w:tc>
      </w:tr>
      <w:tr>
        <w:tc>
          <w:tcPr>
            <w:tcW w:type="dxa" w:w="172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r>
        <w:tc>
          <w:tcPr>
            <w:tcW w:type="dxa" w:w="172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c>
          <w:tcPr>
            <w:tcW w:type="dxa" w:w="2448"/>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F — Peak-Condition &amp; Exception Routes</w:t>
      </w:r>
    </w:p>
    <w:p>
      <w:pPr>
        <w:spacing w:after="160"/>
      </w:pPr>
      <w:r>
        <w:rPr>
          <w:b w:val="0"/>
          <w:i w:val="0"/>
          <w:sz w:val="18"/>
        </w:rPr>
        <w:t>The routing the layout has to survive under peak demand, an equipment outage, or another named exception — not just the everyday case.</w:t>
      </w:r>
    </w:p>
    <w:tbl>
      <w:tblPr>
        <w:tblW w:type="auto" w:w="0"/>
        <w:tblLayout w:type="fixed"/>
        <w:tblLook w:firstColumn="1" w:firstRow="1" w:lastColumn="0" w:lastRow="0" w:noHBand="0" w:noVBand="1" w:val="04A0"/>
      </w:tblPr>
      <w:tblGrid>
        <w:gridCol w:w="2160"/>
        <w:gridCol w:w="2736"/>
        <w:gridCol w:w="1440"/>
        <w:gridCol w:w="2736"/>
      </w:tblGrid>
      <w:tr>
        <w:tc>
          <w:tcPr>
            <w:tcW w:type="dxa" w:w="2160"/>
            <w:shd w:val="clear" w:color="auto" w:fill="1F2D3D"/>
            <w:tcBorders>
              <w:top w:sz="4" w:val="single" w:color="CCCCCC"/>
              <w:left w:sz="4" w:val="single" w:color="CCCCCC"/>
              <w:bottom w:sz="4" w:val="single" w:color="CCCCCC"/>
              <w:right w:sz="4" w:val="single" w:color="CCCCCC"/>
            </w:tcBorders>
          </w:tcPr>
          <w:p>
            <w:r>
              <w:rPr>
                <w:b/>
                <w:color w:val="FFFFFF"/>
                <w:sz w:val="17"/>
              </w:rPr>
              <w:t>Condition (peak, surge, equipment down, etc.)</w:t>
            </w:r>
          </w:p>
        </w:tc>
        <w:tc>
          <w:tcPr>
            <w:tcW w:type="dxa" w:w="2736"/>
            <w:shd w:val="clear" w:color="auto" w:fill="1F2D3D"/>
            <w:tcBorders>
              <w:top w:sz="4" w:val="single" w:color="CCCCCC"/>
              <w:left w:sz="4" w:val="single" w:color="CCCCCC"/>
              <w:bottom w:sz="4" w:val="single" w:color="CCCCCC"/>
              <w:right w:sz="4" w:val="single" w:color="CCCCCC"/>
            </w:tcBorders>
          </w:tcPr>
          <w:p>
            <w:r>
              <w:rPr>
                <w:b/>
                <w:color w:val="FFFFFF"/>
                <w:sz w:val="17"/>
              </w:rPr>
              <w:t>Exception Routing</w:t>
            </w:r>
          </w:p>
        </w:tc>
        <w:tc>
          <w:tcPr>
            <w:tcW w:type="dxa" w:w="1440"/>
            <w:shd w:val="clear" w:color="auto" w:fill="1F2D3D"/>
            <w:tcBorders>
              <w:top w:sz="4" w:val="single" w:color="CCCCCC"/>
              <w:left w:sz="4" w:val="single" w:color="CCCCCC"/>
              <w:bottom w:sz="4" w:val="single" w:color="CCCCCC"/>
              <w:right w:sz="4" w:val="single" w:color="CCCCCC"/>
            </w:tcBorders>
          </w:tcPr>
          <w:p>
            <w:r>
              <w:rPr>
                <w:b/>
                <w:color w:val="FFFFFF"/>
                <w:sz w:val="17"/>
              </w:rPr>
              <w:t>Frequency / Likelihood</w:t>
            </w:r>
          </w:p>
        </w:tc>
        <w:tc>
          <w:tcPr>
            <w:tcW w:type="dxa" w:w="2736"/>
            <w:shd w:val="clear" w:color="auto" w:fill="1F2D3D"/>
            <w:tcBorders>
              <w:top w:sz="4" w:val="single" w:color="CCCCCC"/>
              <w:left w:sz="4" w:val="single" w:color="CCCCCC"/>
              <w:bottom w:sz="4" w:val="single" w:color="CCCCCC"/>
              <w:right w:sz="4" w:val="single" w:color="CCCCCC"/>
            </w:tcBorders>
          </w:tcPr>
          <w:p>
            <w:r>
              <w:rPr>
                <w:b/>
                <w:color w:val="FFFFFF"/>
                <w:sz w:val="17"/>
              </w:rPr>
              <w:t>Layout / Flow Implication</w:t>
            </w:r>
          </w:p>
        </w:tc>
      </w:tr>
      <w:t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r>
        <w:tc>
          <w:tcPr>
            <w:tcW w:type="dxa" w:w="216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c>
          <w:tcPr>
            <w:tcW w:type="dxa" w:w="1440"/>
            <w:tcBorders>
              <w:top w:sz="4" w:val="single" w:color="CCCCCC"/>
              <w:left w:sz="4" w:val="single" w:color="CCCCCC"/>
              <w:bottom w:sz="4" w:val="single" w:color="CCCCCC"/>
              <w:right w:sz="4" w:val="single" w:color="CCCCCC"/>
            </w:tcBorders>
          </w:tcPr>
          <w:p/>
        </w:tc>
        <w:tc>
          <w:tcPr>
            <w:tcW w:type="dxa" w:w="2736"/>
            <w:tcBorders>
              <w:top w:sz="4" w:val="single" w:color="CCCCCC"/>
              <w:left w:sz="4" w:val="single" w:color="CCCCCC"/>
              <w:bottom w:sz="4" w:val="single" w:color="CCCCCC"/>
              <w:right w:sz="4" w:val="single" w:color="CCCCCC"/>
            </w:tcBorders>
          </w:tcPr>
          <w:p/>
        </w:tc>
      </w:tr>
    </w:tbl>
    <w:p>
      <w:pPr>
        <w:spacing w:before="280" w:after="120"/>
        <w:pBdr>
          <w:bottom w:val="single" w:sz="6" w:space="2" w:color="B8862E"/>
        </w:pBdr>
      </w:pPr>
      <w:r>
        <w:rPr>
          <w:b/>
          <w:color w:val="1F2D3D"/>
          <w:sz w:val="26"/>
        </w:rPr>
        <w:t>Part G — Operating-Stakeholder Validation</w:t>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Operating Stakeholder(s) Consulted — Name, Role</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The people who actually run the process, not just their manager</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Validation Method</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Walkthrough, working session, process observation, etc.</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Branch Shares Verified to Sum to 100%</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Checked at every split in Part B, within each product/service family, planning horizon, and demand condition — not assumed</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Date Validated</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Operating Stakeholder Sign-Off / Acceptance</w:t>
            </w:r>
          </w:p>
        </w:tc>
        <w:tc>
          <w:tcPr>
            <w:tcW w:type="dxa" w:w="6192"/>
            <w:tcBorders>
              <w:top w:sz="4" w:val="single" w:color="CCCCCC"/>
              <w:left w:sz="4" w:val="single" w:color="CCCCCC"/>
              <w:bottom w:sz="4" w:val="single" w:color="CCCCCC"/>
              <w:right w:sz="4" w:val="single" w:color="CCCCCC"/>
            </w:tcBorders>
          </w:tcPr>
          <w:p>
            <w:pPr>
              <w:spacing w:after="20"/>
            </w:pPr>
            <w:r/>
            <w:r>
              <w:rPr>
                <w:i/>
                <w:color w:val="555555"/>
                <w:sz w:val="16"/>
              </w:rPr>
              <w:t>Confirms the sequence above, as documented, matches how the operation actually has to run</w:t>
            </w:r>
          </w:p>
          <w:p>
            <w:pPr>
              <w:spacing w:after="20"/>
            </w:pPr>
          </w:p>
        </w:tc>
      </w:tr>
    </w:tbl>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