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Relationship Chart Worksheet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Rates the SLP closeness needed between every pair of activities, including how site/exterior areas relate to the building. Produced as a preliminary pass in Step 1, revisited and refined in Step 5 once Detailed Flow has quantified flow-driven closeness on its own.</w:t>
      </w: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A-E-I-O-U-X Closeness Scale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2592"/>
        <w:gridCol w:w="5472"/>
      </w:tblGrid>
      <w:tr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Rating</w:t>
            </w:r>
          </w:p>
        </w:tc>
        <w:tc>
          <w:tcPr>
            <w:tcW w:type="dxa" w:w="259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Meaning</w:t>
            </w:r>
          </w:p>
        </w:tc>
        <w:tc>
          <w:tcPr>
            <w:tcW w:type="dxa" w:w="547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Typical Reason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152"/>
        <w:gridCol w:w="2592"/>
        <w:gridCol w:w="5472"/>
      </w:tblGrid>
      <w:tr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sz w:val="18"/>
              </w:rPr>
              <w:t>A</w:t>
            </w:r>
          </w:p>
        </w:tc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Absolutely Necessary</w:t>
            </w:r>
          </w:p>
        </w:tc>
        <w:tc>
          <w:tcPr>
            <w:tcW w:type="dxa" w:w="54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Direct, continuous flow of material or people between the two areas</w:t>
            </w:r>
          </w:p>
        </w:tc>
      </w:tr>
      <w:tr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sz w:val="18"/>
              </w:rPr>
              <w:t>E</w:t>
            </w:r>
          </w:p>
        </w:tc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Especially Important</w:t>
            </w:r>
          </w:p>
        </w:tc>
        <w:tc>
          <w:tcPr>
            <w:tcW w:type="dxa" w:w="54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Frequent flow or a strong operational dependency</w:t>
            </w:r>
          </w:p>
        </w:tc>
      </w:tr>
      <w:tr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sz w:val="18"/>
              </w:rPr>
              <w:t>I</w:t>
            </w:r>
          </w:p>
        </w:tc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Important</w:t>
            </w:r>
          </w:p>
        </w:tc>
        <w:tc>
          <w:tcPr>
            <w:tcW w:type="dxa" w:w="54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Regular flow or a meaningful working relationship</w:t>
            </w:r>
          </w:p>
        </w:tc>
      </w:tr>
      <w:tr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sz w:val="18"/>
              </w:rPr>
              <w:t>O</w:t>
            </w:r>
          </w:p>
        </w:tc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Ordinary Closeness OK</w:t>
            </w:r>
          </w:p>
        </w:tc>
        <w:tc>
          <w:tcPr>
            <w:tcW w:type="dxa" w:w="54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Occasional contact; proximity is convenient but not critical</w:t>
            </w:r>
          </w:p>
        </w:tc>
      </w:tr>
      <w:tr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sz w:val="18"/>
              </w:rPr>
              <w:t>U</w:t>
            </w:r>
          </w:p>
        </w:tc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Unimportant</w:t>
            </w:r>
          </w:p>
        </w:tc>
        <w:tc>
          <w:tcPr>
            <w:tcW w:type="dxa" w:w="54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No meaningful relationship either way</w:t>
            </w:r>
          </w:p>
        </w:tc>
      </w:tr>
      <w:tr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sz w:val="18"/>
              </w:rPr>
              <w:t>X</w:t>
            </w:r>
          </w:p>
        </w:tc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Undesirable</w:t>
            </w:r>
          </w:p>
        </w:tc>
        <w:tc>
          <w:tcPr>
            <w:tcW w:type="dxa" w:w="54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Should be kept apart — noise, dust, vibration, fumes, safety, or similar conflict</w:t>
            </w:r>
          </w:p>
        </w:tc>
      </w:tr>
    </w:tbl>
    <w:p>
      <w:pPr>
        <w:spacing w:after="120"/>
      </w:pP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Relationship Matrix</w:t>
      </w:r>
    </w:p>
    <w:p>
      <w:pPr>
        <w:spacing w:after="160"/>
      </w:pPr>
      <w:r>
        <w:rPr>
          <w:b w:val="0"/>
          <w:i w:val="0"/>
          <w:sz w:val="18"/>
        </w:rPr>
        <w:t>Number every activity from the Activity List (1, 2, 3...) and enter its rating where that pair's row and column meet, as Code-Reason (e.g. "A-1"). Reason codes: 1 Flow of material/product · 2 Shared personnel · 3 Shared equipment · 4 Ease of supervision/communication · 5 Convenience · 6 Noise, dirt, vibration, fumes, or hazard · 7 Safety. Sized for up to 12 activities — extend by adding rows/columns for more.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20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742"/>
      </w:tblGrid>
      <w:tr>
        <w:tc>
          <w:tcPr>
            <w:tcW w:type="dxa" w:w="720"/>
            <w:shd w:val="clear" w:color="auto" w:fill="1F2D3D"/>
          </w:tcPr>
          <w:p>
            <w:r/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6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7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8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9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10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11</w:t>
            </w:r>
          </w:p>
        </w:tc>
        <w:tc>
          <w:tcPr>
            <w:tcW w:type="dxa" w:w="605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12</w:t>
            </w:r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6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7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8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9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10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11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/>
          </w:p>
        </w:tc>
        <w:tc>
          <w:tcPr>
            <w:tcW w:type="dxa" w:w="742"/>
          </w:tcPr>
          <w:p/>
        </w:tc>
      </w:tr>
      <w:tr>
        <w:tc>
          <w:tcPr>
            <w:tcW w:type="dxa" w:w="742"/>
            <w:shd w:val="clear" w:color="auto" w:fill="1F2D3D"/>
          </w:tcPr>
          <w:p>
            <w:r>
              <w:rPr>
                <w:b/>
                <w:color w:val="FFFFFF"/>
                <w:sz w:val="16"/>
              </w:rPr>
              <w:t>12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605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6"/>
              </w:rPr>
              <w:t>—</w:t>
            </w:r>
          </w:p>
        </w:tc>
        <w:tc>
          <w:tcPr>
            <w:tcW w:type="dxa" w:w="742"/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