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Site &amp; Circulation Flow Worksheet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The worksheet most often skipped. Two parts, both kept rough and site-level: you can't place a truck court, size a parking field, or locate a site entrance without knowing what has to move through it first.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Part A — Vehicle &amp; Site Circulation</w:t>
      </w:r>
    </w:p>
    <w:p>
      <w:pPr>
        <w:spacing w:after="160"/>
      </w:pPr>
      <w:r>
        <w:rPr>
          <w:b w:val="0"/>
          <w:i w:val="0"/>
          <w:sz w:val="18"/>
        </w:rPr>
        <w:t>Every distinct type of vehicle or traffic the site has to handle. State plainly how many entrances the site needs and what each is dedicated 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2160"/>
        <w:gridCol w:w="1440"/>
        <w:gridCol w:w="1728"/>
        <w:gridCol w:w="2016"/>
      </w:tblGrid>
      <w:tr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Vehicle / Traffic Type</w:t>
            </w:r>
          </w:p>
        </w:tc>
        <w:tc>
          <w:tcPr>
            <w:tcW w:type="dxa" w:w="216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Purpose / Where It's Going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Volume (Daily/Peak)</w:t>
            </w:r>
          </w:p>
        </w:tc>
        <w:tc>
          <w:tcPr>
            <w:tcW w:type="dxa" w:w="172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Site Entry/Exit Point</w:t>
            </w:r>
          </w:p>
        </w:tc>
        <w:tc>
          <w:tcPr>
            <w:tcW w:type="dxa" w:w="201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Notes / Known Conflicts</w:t>
            </w:r>
          </w:p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Part B — High-Level People &amp; Material Flow (Rough)</w:t>
      </w:r>
    </w:p>
    <w:p>
      <w:pPr>
        <w:spacing w:after="160"/>
      </w:pPr>
      <w:r>
        <w:rPr>
          <w:b w:val="0"/>
          <w:i w:val="0"/>
          <w:sz w:val="18"/>
        </w:rPr>
        <w:t>A rough read on how people and material broadly move — arrows on a diagram, not a step-by-step procedure.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016"/>
        <w:gridCol w:w="2016"/>
        <w:gridCol w:w="3024"/>
      </w:tblGrid>
      <w:tr>
        <w:tc>
          <w:tcPr>
            <w:tcW w:type="dxa" w:w="216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Flow Type (People/Material)</w:t>
            </w:r>
          </w:p>
        </w:tc>
        <w:tc>
          <w:tcPr>
            <w:tcW w:type="dxa" w:w="201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From</w:t>
            </w:r>
          </w:p>
        </w:tc>
        <w:tc>
          <w:tcPr>
            <w:tcW w:type="dxa" w:w="201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To</w:t>
            </w:r>
          </w:p>
        </w:tc>
        <w:tc>
          <w:tcPr>
            <w:tcW w:type="dxa" w:w="302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General Path / Notes</w:t>
            </w:r>
          </w:p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0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0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0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0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01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02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