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2 OF 4 · DEFINE THE SCOPE</w:t>
      </w:r>
    </w:p>
    <w:p>
      <w:pPr>
        <w:spacing w:after="40"/>
      </w:pPr>
      <w:r>
        <w:rPr>
          <w:b/>
          <w:color w:val="1F2D3D"/>
          <w:sz w:val="40"/>
        </w:rPr>
        <w:t>Block Layout Alternative Summary</w:t>
      </w:r>
    </w:p>
    <w:p>
      <w:pPr>
        <w:spacing w:after="240"/>
      </w:pPr>
      <w:r>
        <w:rPr>
          <w:i/>
          <w:color w:val="B8862E"/>
          <w:sz w:val="24"/>
        </w:rPr>
        <w:t>Phase 2 — Define the Scope (Gate 2: Scope Locked — Non-Compensable Gate)</w:t>
      </w:r>
    </w:p>
    <w:p>
      <w:pPr>
        <w:spacing w:after="160"/>
      </w:pPr>
      <w:r>
        <w:rPr>
          <w:b w:val="0"/>
          <w:i w:val="0"/>
          <w:sz w:val="19"/>
        </w:rPr>
        <w:t>Records at least two meaningfully different layout alternatives and the logic behind each — site plan and vehicle circulation logic included, not just the interior block layout.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2448"/>
        <w:gridCol w:w="2160"/>
        <w:gridCol w:w="2160"/>
        <w:gridCol w:w="1440"/>
      </w:tblGrid>
      <w:tr>
        <w:tc>
          <w:tcPr>
            <w:tcW w:type="dxa" w:w="144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Alternative</w:t>
            </w:r>
          </w:p>
        </w:tc>
        <w:tc>
          <w:tcPr>
            <w:tcW w:type="dxa" w:w="2448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Key Layout Logic</w:t>
            </w:r>
          </w:p>
        </w:tc>
        <w:tc>
          <w:tcPr>
            <w:tcW w:type="dxa" w:w="216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Strengths</w:t>
            </w:r>
          </w:p>
        </w:tc>
        <w:tc>
          <w:tcPr>
            <w:tcW w:type="dxa" w:w="216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Weaknesses</w:t>
            </w:r>
          </w:p>
        </w:tc>
        <w:tc>
          <w:tcPr>
            <w:tcW w:type="dxa" w:w="144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Est. Total GSF</w:t>
            </w:r>
          </w:p>
        </w:tc>
      </w:tr>
      <w:tr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