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F2D3D"/>
          <w:sz w:val="20"/>
        </w:rPr>
        <w:t>VERITAS CONCEPT ENGINEERING</w:t>
      </w:r>
    </w:p>
    <w:p>
      <w:pPr>
        <w:spacing w:after="200"/>
      </w:pPr>
      <w:r>
        <w:rPr>
          <w:i/>
          <w:color w:val="555555"/>
          <w:sz w:val="18"/>
        </w:rPr>
        <w:t>Facilities Planning Consulting — Robin Owens</w:t>
      </w:r>
    </w:p>
    <w:p>
      <w:pPr>
        <w:spacing w:after="40"/>
      </w:pPr>
      <w:r>
        <w:rPr>
          <w:b/>
          <w:color w:val="B8862E"/>
          <w:sz w:val="16"/>
        </w:rPr>
        <w:t>FRF · PHASE 2 OF 4 · DEFINE THE SCOPE</w:t>
      </w:r>
    </w:p>
    <w:p>
      <w:pPr>
        <w:spacing w:after="40"/>
      </w:pPr>
      <w:r>
        <w:rPr>
          <w:b/>
          <w:color w:val="1F2D3D"/>
          <w:sz w:val="40"/>
        </w:rPr>
        <w:t>Mandatory Constraints Screen &amp; Weighted-Factor Scorecard</w:t>
      </w:r>
    </w:p>
    <w:p>
      <w:pPr>
        <w:spacing w:after="240"/>
      </w:pPr>
      <w:r>
        <w:rPr>
          <w:i/>
          <w:color w:val="B8862E"/>
          <w:sz w:val="24"/>
        </w:rPr>
        <w:t>Phase 2 — Define the Scope (Gate 2: Scope Locked — Non-Compensable Gate)</w:t>
      </w:r>
    </w:p>
    <w:p>
      <w:pPr>
        <w:spacing w:after="160"/>
      </w:pPr>
      <w:r>
        <w:rPr>
          <w:b w:val="0"/>
          <w:i w:val="0"/>
          <w:sz w:val="19"/>
        </w:rPr>
        <w:t>Two decision steps, in order, not one. Part A is a hard pass/fail screen against every mandatory constraint — the weighted scorecard in Part B never compensates for a constraint violation, so no alternative reaches scoring until it clears Part A. Part B is then a defined set of criteria across five domains, not visual preference; walk the group through each criterion's definition before scoring starts.</w:t>
      </w:r>
    </w:p>
    <w:p>
      <w:pPr>
        <w:spacing w:before="280" w:after="120"/>
        <w:pBdr>
          <w:bottom w:val="single" w:sz="6" w:space="2" w:color="B8862E"/>
        </w:pBdr>
      </w:pPr>
      <w:r>
        <w:rPr>
          <w:b/>
          <w:color w:val="1F2D3D"/>
          <w:sz w:val="26"/>
        </w:rPr>
        <w:t>Part A — Mandatory Constraints Screen</w:t>
      </w:r>
    </w:p>
    <w:p>
      <w:pPr>
        <w:spacing w:after="160"/>
      </w:pPr>
      <w:r>
        <w:rPr>
          <w:b w:val="0"/>
          <w:i w:val="0"/>
          <w:sz w:val="18"/>
        </w:rPr>
        <w:t>Every alternative is screened against every mandatory constraint before any alternative is scored. A superior weighted score must never compensate for violating a hard constraint — that is exactly the failure mode this screen exists to close off. Screen each alternative separately: one full pass through every constraint per alternative, not one pass compared loosely across alternatives. Each alternative gets its own page here — the Alternative field plus its complete table, sized to Form 01's own ten-row capacity so every constraint logged there has a row here; two pages are printed for the two alternatives shown — add a page (copy the field and the table together) for each additional alternative beyond the two shown, or add rows within a page if a single alternative is screened against more than ten constraints, rather than trying to force every alternative's constraints into a single shared table.</w:t>
      </w:r>
    </w:p>
    <w:p>
      <w:pPr>
        <w:spacing w:after="160"/>
      </w:pPr>
      <w:r>
        <w:rPr>
          <w:b w:val="0"/>
          <w:i w:val="0"/>
          <w:sz w:val="18"/>
        </w:rPr>
        <w:t>Result is one of four values. Pass: evidence demonstrates compliance. Fail: the alternative violates a mandatory constraint. Not Verified: treated as a Fail until evidence exists — silence is not a pass. Approved Exception: allowed only with named decision authority, documented consequences, and formal acceptance, and only within the limits below. Every row carries its Form 01 Constraint ID and a specific Evidence Reference (the document, drawing, calculation, or code citation that supports the Result) — a Result with no evidence reference is not auditable and should read Not Verified regardless of what's written in Result.</w:t>
      </w:r>
    </w:p>
    <w:p>
      <w:pPr>
        <w:spacing w:after="160"/>
      </w:pPr>
      <w:r>
        <w:rPr>
          <w:b w:val="0"/>
          <w:i w:val="0"/>
          <w:sz w:val="18"/>
        </w:rPr>
        <w:t>Mandatory Basis states which of three kinds a constraint is, because the approval path for an exception differs by kind. Law, Code, Regulatory, or Life Safety: an exception cannot mean internal permission to disregard it — it requires formal approval from the Authority Having Jurisdiction (AHJ); this project team cannot grant itself that exception. Physical or Technical: existing structural capacity, site dimensions, utility availability, equipment clearances, soil conditions, physical access, and similar hard physical limits. These cannot be waived by the owner simply deciding to accept the risk — an exception here requires an engineered resolution or a validated mitigation, documented by the qualified engineer or specialist who determined it resolves the constraint, not a decision-authority sign-off alone. Owner-Imposed: a business preference, an internal standard, or a self-imposed policy — these may be excepted by the named owner decision authority, documented the same way as the other two.</w:t>
      </w:r>
    </w:p>
    <w:p>
      <w:pPr>
        <w:spacing w:before="0" w:after="0"/>
      </w:pPr>
      <w:r>
        <w:br w:type="page"/>
      </w:r>
    </w:p>
    <w:tbl>
      <w:tblPr>
        <w:tblW w:type="auto" w:w="0"/>
        <w:tblLayout w:type="fixed"/>
        <w:tblLook w:firstColumn="1" w:firstRow="1" w:lastColumn="0" w:lastRow="0" w:noHBand="0" w:noVBand="1" w:val="04A0"/>
      </w:tblPr>
      <w:tblGrid>
        <w:gridCol w:w="3312"/>
        <w:gridCol w:w="6192"/>
      </w:tblGrid>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Alternative 1 Being Screened (ref. Form 08) — Name/ID</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bl>
    <w:p>
      <w:pPr>
        <w:spacing w:before="0" w:after="0"/>
      </w:pPr>
      <w:r>
        <w:rPr>
          <w:sz w:val="2"/>
        </w:rPr>
      </w:r>
    </w:p>
    <w:tbl>
      <w:tblPr>
        <w:tblW w:type="auto" w:w="0"/>
        <w:tblLayout w:type="fixed"/>
        <w:tblLook w:firstColumn="1" w:firstRow="1" w:lastColumn="0" w:lastRow="0" w:noHBand="0" w:noVBand="1" w:val="04A0"/>
      </w:tblPr>
      <w:tblGrid>
        <w:gridCol w:w="1224"/>
        <w:gridCol w:w="2160"/>
        <w:gridCol w:w="1800"/>
        <w:gridCol w:w="1440"/>
        <w:gridCol w:w="1368"/>
        <w:gridCol w:w="1656"/>
      </w:tblGrid>
      <w:tr>
        <w:trPr>
          <w:cantSplit w:val="true"/>
          <w:tblHeader w:val="true"/>
        </w:trPr>
        <w:tc>
          <w:tcPr>
            <w:tcW w:type="dxa" w:w="1224"/>
            <w:shd w:val="clear" w:color="auto" w:fill="1F2D3D"/>
            <w:tcBorders>
              <w:top w:sz="4" w:val="single" w:color="CCCCCC"/>
              <w:left w:sz="4" w:val="single" w:color="CCCCCC"/>
              <w:bottom w:sz="4" w:val="single" w:color="CCCCCC"/>
              <w:right w:sz="4" w:val="single" w:color="CCCCCC"/>
            </w:tcBorders>
          </w:tcPr>
          <w:p>
            <w:r>
              <w:rPr>
                <w:b/>
                <w:color w:val="FFFFFF"/>
                <w:sz w:val="17"/>
              </w:rPr>
              <w:t>Constraint ID (ref. Form 01)</w:t>
            </w:r>
          </w:p>
        </w:tc>
        <w:tc>
          <w:tcPr>
            <w:tcW w:type="dxa" w:w="2160"/>
            <w:shd w:val="clear" w:color="auto" w:fill="1F2D3D"/>
            <w:tcBorders>
              <w:top w:sz="4" w:val="single" w:color="CCCCCC"/>
              <w:left w:sz="4" w:val="single" w:color="CCCCCC"/>
              <w:bottom w:sz="4" w:val="single" w:color="CCCCCC"/>
              <w:right w:sz="4" w:val="single" w:color="CCCCCC"/>
            </w:tcBorders>
          </w:tcPr>
          <w:p>
            <w:r>
              <w:rPr>
                <w:b/>
                <w:color w:val="FFFFFF"/>
                <w:sz w:val="17"/>
              </w:rPr>
              <w:t>Constraint / Requirement (brief)</w:t>
            </w:r>
          </w:p>
        </w:tc>
        <w:tc>
          <w:tcPr>
            <w:tcW w:type="dxa" w:w="1800"/>
            <w:shd w:val="clear" w:color="auto" w:fill="1F2D3D"/>
            <w:tcBorders>
              <w:top w:sz="4" w:val="single" w:color="CCCCCC"/>
              <w:left w:sz="4" w:val="single" w:color="CCCCCC"/>
              <w:bottom w:sz="4" w:val="single" w:color="CCCCCC"/>
              <w:right w:sz="4" w:val="single" w:color="CCCCCC"/>
            </w:tcBorders>
          </w:tcPr>
          <w:p>
            <w:r>
              <w:rPr>
                <w:b/>
                <w:color w:val="FFFFFF"/>
                <w:sz w:val="17"/>
              </w:rPr>
              <w:t>Mandatory Basis (Law/Code/Regulatory/Life Safety · Physical/Technical · Owner-Imposed)</w:t>
            </w:r>
          </w:p>
        </w:tc>
        <w:tc>
          <w:tcPr>
            <w:tcW w:type="dxa" w:w="1440"/>
            <w:shd w:val="clear" w:color="auto" w:fill="1F2D3D"/>
            <w:tcBorders>
              <w:top w:sz="4" w:val="single" w:color="CCCCCC"/>
              <w:left w:sz="4" w:val="single" w:color="CCCCCC"/>
              <w:bottom w:sz="4" w:val="single" w:color="CCCCCC"/>
              <w:right w:sz="4" w:val="single" w:color="CCCCCC"/>
            </w:tcBorders>
          </w:tcPr>
          <w:p>
            <w:r>
              <w:rPr>
                <w:b/>
                <w:color w:val="FFFFFF"/>
                <w:sz w:val="17"/>
              </w:rPr>
              <w:t>Evidence Reference</w:t>
            </w:r>
          </w:p>
        </w:tc>
        <w:tc>
          <w:tcPr>
            <w:tcW w:type="dxa" w:w="1368"/>
            <w:shd w:val="clear" w:color="auto" w:fill="1F2D3D"/>
            <w:tcBorders>
              <w:top w:sz="4" w:val="single" w:color="CCCCCC"/>
              <w:left w:sz="4" w:val="single" w:color="CCCCCC"/>
              <w:bottom w:sz="4" w:val="single" w:color="CCCCCC"/>
              <w:right w:sz="4" w:val="single" w:color="CCCCCC"/>
            </w:tcBorders>
          </w:tcPr>
          <w:p>
            <w:r>
              <w:rPr>
                <w:b/>
                <w:color w:val="FFFFFF"/>
                <w:sz w:val="17"/>
              </w:rPr>
              <w:t>Result (Pass/Fail/Not Verified/Approved Exception)</w:t>
            </w:r>
          </w:p>
        </w:tc>
        <w:tc>
          <w:tcPr>
            <w:tcW w:type="dxa" w:w="1656"/>
            <w:shd w:val="clear" w:color="auto" w:fill="1F2D3D"/>
            <w:tcBorders>
              <w:top w:sz="4" w:val="single" w:color="CCCCCC"/>
              <w:left w:sz="4" w:val="single" w:color="CCCCCC"/>
              <w:bottom w:sz="4" w:val="single" w:color="CCCCCC"/>
              <w:right w:sz="4" w:val="single" w:color="CCCCCC"/>
            </w:tcBorders>
          </w:tcPr>
          <w:p>
            <w:r>
              <w:rPr>
                <w:b/>
                <w:color w:val="FFFFFF"/>
                <w:sz w:val="17"/>
              </w:rPr>
              <w:t>Exception or Resolution Approved By &amp; Date — if not a straight Pass</w:t>
            </w: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bl>
    <w:p>
      <w:pPr>
        <w:spacing w:before="0" w:after="0"/>
      </w:pPr>
      <w:r>
        <w:br w:type="page"/>
      </w:r>
    </w:p>
    <w:tbl>
      <w:tblPr>
        <w:tblW w:type="auto" w:w="0"/>
        <w:tblLayout w:type="fixed"/>
        <w:tblLook w:firstColumn="1" w:firstRow="1" w:lastColumn="0" w:lastRow="0" w:noHBand="0" w:noVBand="1" w:val="04A0"/>
      </w:tblPr>
      <w:tblGrid>
        <w:gridCol w:w="3312"/>
        <w:gridCol w:w="6192"/>
      </w:tblGrid>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Alternative 2 Being Screened (ref. Form 08) — Name/ID</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bl>
    <w:p>
      <w:pPr>
        <w:spacing w:before="0" w:after="0"/>
      </w:pPr>
      <w:r>
        <w:rPr>
          <w:sz w:val="2"/>
        </w:rPr>
      </w:r>
    </w:p>
    <w:tbl>
      <w:tblPr>
        <w:tblW w:type="auto" w:w="0"/>
        <w:tblLayout w:type="fixed"/>
        <w:tblLook w:firstColumn="1" w:firstRow="1" w:lastColumn="0" w:lastRow="0" w:noHBand="0" w:noVBand="1" w:val="04A0"/>
      </w:tblPr>
      <w:tblGrid>
        <w:gridCol w:w="1224"/>
        <w:gridCol w:w="2160"/>
        <w:gridCol w:w="1800"/>
        <w:gridCol w:w="1440"/>
        <w:gridCol w:w="1368"/>
        <w:gridCol w:w="1656"/>
      </w:tblGrid>
      <w:tr>
        <w:trPr>
          <w:cantSplit w:val="true"/>
          <w:tblHeader w:val="true"/>
        </w:trPr>
        <w:tc>
          <w:tcPr>
            <w:tcW w:type="dxa" w:w="1224"/>
            <w:shd w:val="clear" w:color="auto" w:fill="1F2D3D"/>
            <w:tcBorders>
              <w:top w:sz="4" w:val="single" w:color="CCCCCC"/>
              <w:left w:sz="4" w:val="single" w:color="CCCCCC"/>
              <w:bottom w:sz="4" w:val="single" w:color="CCCCCC"/>
              <w:right w:sz="4" w:val="single" w:color="CCCCCC"/>
            </w:tcBorders>
          </w:tcPr>
          <w:p>
            <w:r>
              <w:rPr>
                <w:b/>
                <w:color w:val="FFFFFF"/>
                <w:sz w:val="17"/>
              </w:rPr>
              <w:t>Constraint ID (ref. Form 01)</w:t>
            </w:r>
          </w:p>
        </w:tc>
        <w:tc>
          <w:tcPr>
            <w:tcW w:type="dxa" w:w="2160"/>
            <w:shd w:val="clear" w:color="auto" w:fill="1F2D3D"/>
            <w:tcBorders>
              <w:top w:sz="4" w:val="single" w:color="CCCCCC"/>
              <w:left w:sz="4" w:val="single" w:color="CCCCCC"/>
              <w:bottom w:sz="4" w:val="single" w:color="CCCCCC"/>
              <w:right w:sz="4" w:val="single" w:color="CCCCCC"/>
            </w:tcBorders>
          </w:tcPr>
          <w:p>
            <w:r>
              <w:rPr>
                <w:b/>
                <w:color w:val="FFFFFF"/>
                <w:sz w:val="17"/>
              </w:rPr>
              <w:t>Constraint / Requirement (brief)</w:t>
            </w:r>
          </w:p>
        </w:tc>
        <w:tc>
          <w:tcPr>
            <w:tcW w:type="dxa" w:w="1800"/>
            <w:shd w:val="clear" w:color="auto" w:fill="1F2D3D"/>
            <w:tcBorders>
              <w:top w:sz="4" w:val="single" w:color="CCCCCC"/>
              <w:left w:sz="4" w:val="single" w:color="CCCCCC"/>
              <w:bottom w:sz="4" w:val="single" w:color="CCCCCC"/>
              <w:right w:sz="4" w:val="single" w:color="CCCCCC"/>
            </w:tcBorders>
          </w:tcPr>
          <w:p>
            <w:r>
              <w:rPr>
                <w:b/>
                <w:color w:val="FFFFFF"/>
                <w:sz w:val="17"/>
              </w:rPr>
              <w:t>Mandatory Basis (Law/Code/Regulatory/Life Safety · Physical/Technical · Owner-Imposed)</w:t>
            </w:r>
          </w:p>
        </w:tc>
        <w:tc>
          <w:tcPr>
            <w:tcW w:type="dxa" w:w="1440"/>
            <w:shd w:val="clear" w:color="auto" w:fill="1F2D3D"/>
            <w:tcBorders>
              <w:top w:sz="4" w:val="single" w:color="CCCCCC"/>
              <w:left w:sz="4" w:val="single" w:color="CCCCCC"/>
              <w:bottom w:sz="4" w:val="single" w:color="CCCCCC"/>
              <w:right w:sz="4" w:val="single" w:color="CCCCCC"/>
            </w:tcBorders>
          </w:tcPr>
          <w:p>
            <w:r>
              <w:rPr>
                <w:b/>
                <w:color w:val="FFFFFF"/>
                <w:sz w:val="17"/>
              </w:rPr>
              <w:t>Evidence Reference</w:t>
            </w:r>
          </w:p>
        </w:tc>
        <w:tc>
          <w:tcPr>
            <w:tcW w:type="dxa" w:w="1368"/>
            <w:shd w:val="clear" w:color="auto" w:fill="1F2D3D"/>
            <w:tcBorders>
              <w:top w:sz="4" w:val="single" w:color="CCCCCC"/>
              <w:left w:sz="4" w:val="single" w:color="CCCCCC"/>
              <w:bottom w:sz="4" w:val="single" w:color="CCCCCC"/>
              <w:right w:sz="4" w:val="single" w:color="CCCCCC"/>
            </w:tcBorders>
          </w:tcPr>
          <w:p>
            <w:r>
              <w:rPr>
                <w:b/>
                <w:color w:val="FFFFFF"/>
                <w:sz w:val="17"/>
              </w:rPr>
              <w:t>Result (Pass/Fail/Not Verified/Approved Exception)</w:t>
            </w:r>
          </w:p>
        </w:tc>
        <w:tc>
          <w:tcPr>
            <w:tcW w:type="dxa" w:w="1656"/>
            <w:shd w:val="clear" w:color="auto" w:fill="1F2D3D"/>
            <w:tcBorders>
              <w:top w:sz="4" w:val="single" w:color="CCCCCC"/>
              <w:left w:sz="4" w:val="single" w:color="CCCCCC"/>
              <w:bottom w:sz="4" w:val="single" w:color="CCCCCC"/>
              <w:right w:sz="4" w:val="single" w:color="CCCCCC"/>
            </w:tcBorders>
          </w:tcPr>
          <w:p>
            <w:r>
              <w:rPr>
                <w:b/>
                <w:color w:val="FFFFFF"/>
                <w:sz w:val="17"/>
              </w:rPr>
              <w:t>Exception or Resolution Approved By &amp; Date — if not a straight Pass</w:t>
            </w: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r>
        <w:trPr>
          <w:cantSplit w:val="true"/>
        </w:trPr>
        <w:tc>
          <w:tcPr>
            <w:tcW w:type="dxa" w:w="122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800"/>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656"/>
            <w:tcBorders>
              <w:top w:sz="4" w:val="single" w:color="CCCCCC"/>
              <w:left w:sz="4" w:val="single" w:color="CCCCCC"/>
              <w:bottom w:sz="4" w:val="single" w:color="CCCCCC"/>
              <w:right w:sz="4" w:val="single" w:color="CCCCCC"/>
            </w:tcBorders>
          </w:tcPr>
          <w:p/>
        </w:tc>
      </w:tr>
    </w:tbl>
    <w:p>
      <w:pPr>
        <w:spacing w:after="160"/>
      </w:pPr>
      <w:r>
        <w:rPr>
          <w:b w:val="0"/>
          <w:i w:val="0"/>
          <w:sz w:val="18"/>
        </w:rPr>
        <w:t>Any Fail or Not Verified result makes that alternative ineligible for Part B weighted scoring — it does not get scored lower, it does not proceed to Part B at all, regardless of how strong it would otherwise look. If every alternative fails the screen, the team returns upstream — to Form 08 to develop a genuinely different alternative, or to the Form 01 directive itself if an owner-imposed constraint can be relaxed by its named authority — rather than selecting the least-bad failing alternative and scoring it anyway. A Physical or Technical constraint that fails stays failed until an engineered resolution or validated mitigation actually changes the facts, not until someone decides to accept it. Selecting a failing alternative because nothing else is available is the exact outcome this screen exists to prevent.</w:t>
      </w:r>
    </w:p>
    <w:tbl>
      <w:tblPr>
        <w:tblW w:type="auto" w:w="0"/>
        <w:tblLayout w:type="fixed"/>
        <w:tblLook w:firstColumn="1" w:firstRow="1" w:lastColumn="0" w:lastRow="0" w:noHBand="0" w:noVBand="1" w:val="04A0"/>
      </w:tblPr>
      <w:tblGrid>
        <w:gridCol w:w="3312"/>
        <w:gridCol w:w="6192"/>
      </w:tblGrid>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Alternative(s) Eligible for Part B Scoring (passed every mandatory constraint, or holds a valid Approved Exception)</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If No Alternative Is Eligible: Return-Upstream Decision — What Changes, Who Approved It, Target Date</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Screened By / Date</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bl>
    <w:p>
      <w:pPr>
        <w:spacing w:after="160"/>
      </w:pPr>
      <w:r>
        <w:rPr>
          <w:b w:val="0"/>
          <w:i w:val="0"/>
          <w:sz w:val="17"/>
        </w:rPr>
        <w:t>Before Gate 2: whichever alternative is ultimately selected in Part B and recorded on the Selection Decision Record (Form 10) must be reconfirmed against the completed capacity, flow, space, and utility analyses (Forms 11–15) once those are finished — this screen runs on the evidence available at Select-step time, which is often preliminary; the detailed work done afterward has to confirm the same constraints still hold before the non-compensable gate closes, not just at the moment this table was filled in.</w:t>
      </w:r>
    </w:p>
    <w:p>
      <w:pPr>
        <w:spacing w:before="280" w:after="120"/>
        <w:pageBreakBefore/>
        <w:pBdr>
          <w:bottom w:val="single" w:sz="6" w:space="2" w:color="B8862E"/>
        </w:pBdr>
      </w:pPr>
      <w:r>
        <w:rPr>
          <w:b/>
          <w:color w:val="1F2D3D"/>
          <w:sz w:val="26"/>
        </w:rPr>
        <w:t>Part B — Weighted-Factor Scorecard — Reference</w:t>
      </w:r>
    </w:p>
    <w:p>
      <w:pPr>
        <w:spacing w:after="160"/>
      </w:pPr>
      <w:r>
        <w:rPr>
          <w:b w:val="0"/>
          <w:i w:val="0"/>
          <w:sz w:val="19"/>
        </w:rPr>
        <w:t>Score in the companion Facility Readiness Score Phase 2 Weighted Scorecard workbook, not in this table — this page is a fixed reference for the domains, criteria, and weights only. Enter a Raw score 1–10 (10 = best) per criterion in the workbook; Weighted = Weight × (Raw ÷ 10) calculates itself. Only alternatives marked eligible in Part A above are scored here — an alternative that failed the constraints screen is not entered into this workbook regardless of how it would otherwise score.</w:t>
      </w:r>
    </w:p>
    <w:tbl>
      <w:tblPr>
        <w:tblW w:type="auto" w:w="0"/>
        <w:tblLook w:firstColumn="1" w:firstRow="1" w:lastColumn="0" w:lastRow="0" w:noHBand="0" w:noVBand="1" w:val="04A0"/>
      </w:tblPr>
      <w:tblGrid>
        <w:gridCol w:w="3168"/>
        <w:gridCol w:w="4608"/>
        <w:gridCol w:w="1152"/>
      </w:tblGrid>
      <w:tr>
        <w:tc>
          <w:tcPr>
            <w:tcW w:type="dxa" w:w="3216"/>
            <w:shd w:val="clear" w:color="auto" w:fill="1F2D3D"/>
          </w:tcPr>
          <w:p>
            <w:r>
              <w:rPr>
                <w:b/>
                <w:color w:val="FFFFFF"/>
                <w:sz w:val="18"/>
              </w:rPr>
              <w:t>Domain</w:t>
            </w:r>
          </w:p>
        </w:tc>
        <w:tc>
          <w:tcPr>
            <w:tcW w:type="dxa" w:w="3216"/>
            <w:shd w:val="clear" w:color="auto" w:fill="1F2D3D"/>
          </w:tcPr>
          <w:p>
            <w:r>
              <w:rPr>
                <w:b/>
                <w:color w:val="FFFFFF"/>
                <w:sz w:val="18"/>
              </w:rPr>
              <w:t>Criterion</w:t>
            </w:r>
          </w:p>
        </w:tc>
        <w:tc>
          <w:tcPr>
            <w:tcW w:type="dxa" w:w="3216"/>
            <w:shd w:val="clear" w:color="auto" w:fill="1F2D3D"/>
          </w:tcPr>
          <w:p>
            <w:r>
              <w:rPr>
                <w:b/>
                <w:color w:val="FFFFFF"/>
                <w:sz w:val="18"/>
              </w:rPr>
              <w:t>Weight</w:t>
            </w:r>
          </w:p>
        </w:tc>
      </w:tr>
      <w:tr>
        <w:tc>
          <w:tcPr>
            <w:tcW w:type="dxa" w:w="3168"/>
            <w:tcBorders>
              <w:top w:sz="4" w:val="single" w:color="CCCCCC"/>
              <w:left w:sz="4" w:val="single" w:color="CCCCCC"/>
              <w:bottom w:sz="4" w:val="single" w:color="CCCCCC"/>
              <w:right w:sz="4" w:val="single" w:color="CCCCCC"/>
            </w:tcBorders>
          </w:tcPr>
          <w:p>
            <w:r>
              <w:rPr>
                <w:b/>
                <w:sz w:val="18"/>
              </w:rPr>
              <w:t>Company &amp; Community Fit</w:t>
            </w:r>
          </w:p>
        </w:tc>
        <w:tc>
          <w:tcPr>
            <w:tcW w:type="dxa" w:w="4608"/>
            <w:tcBorders>
              <w:top w:sz="4" w:val="single" w:color="CCCCCC"/>
              <w:left w:sz="4" w:val="single" w:color="CCCCCC"/>
              <w:bottom w:sz="4" w:val="single" w:color="CCCCCC"/>
              <w:right w:sz="4" w:val="single" w:color="CCCCCC"/>
            </w:tcBorders>
          </w:tcPr>
          <w:p>
            <w:r>
              <w:rPr>
                <w:b w:val="0"/>
                <w:sz w:val="18"/>
              </w:rPr>
              <w:t>Alignment with company image &amp; culture</w:t>
            </w:r>
          </w:p>
        </w:tc>
        <w:tc>
          <w:tcPr>
            <w:tcW w:type="dxa" w:w="1152"/>
            <w:tcBorders>
              <w:top w:sz="4" w:val="single" w:color="CCCCCC"/>
              <w:left w:sz="4" w:val="single" w:color="CCCCCC"/>
              <w:bottom w:sz="4" w:val="single" w:color="CCCCCC"/>
              <w:right w:sz="4" w:val="single" w:color="CCCCCC"/>
            </w:tcBorders>
          </w:tcPr>
          <w:p>
            <w:r>
              <w:rPr>
                <w:b w:val="0"/>
                <w:sz w:val="18"/>
              </w:rPr>
              <w:t>5</w:t>
            </w:r>
          </w:p>
        </w:tc>
      </w:tr>
      <w:tr>
        <w:tc>
          <w:tcPr>
            <w:tcW w:type="dxa" w:w="3168"/>
            <w:tcBorders>
              <w:top w:sz="4" w:val="single" w:color="CCCCCC"/>
              <w:left w:sz="4" w:val="single" w:color="CCCCCC"/>
              <w:bottom w:sz="4" w:val="single" w:color="CCCCCC"/>
              <w:right w:sz="4" w:val="single" w:color="CCCCCC"/>
            </w:tcBorders>
          </w:tcPr>
          <w:p>
            <w:r>
              <w:rPr>
                <w:sz w:val="18"/>
              </w:rPr>
            </w:r>
          </w:p>
        </w:tc>
        <w:tc>
          <w:tcPr>
            <w:tcW w:type="dxa" w:w="4608"/>
            <w:tcBorders>
              <w:top w:sz="4" w:val="single" w:color="CCCCCC"/>
              <w:left w:sz="4" w:val="single" w:color="CCCCCC"/>
              <w:bottom w:sz="4" w:val="single" w:color="CCCCCC"/>
              <w:right w:sz="4" w:val="single" w:color="CCCCCC"/>
            </w:tcBorders>
          </w:tcPr>
          <w:p>
            <w:r>
              <w:rPr>
                <w:sz w:val="18"/>
              </w:rPr>
              <w:t>Community / neighbor impact</w:t>
            </w:r>
          </w:p>
        </w:tc>
        <w:tc>
          <w:tcPr>
            <w:tcW w:type="dxa" w:w="1152"/>
            <w:tcBorders>
              <w:top w:sz="4" w:val="single" w:color="CCCCCC"/>
              <w:left w:sz="4" w:val="single" w:color="CCCCCC"/>
              <w:bottom w:sz="4" w:val="single" w:color="CCCCCC"/>
              <w:right w:sz="4" w:val="single" w:color="CCCCCC"/>
            </w:tcBorders>
          </w:tcPr>
          <w:p>
            <w:r>
              <w:rPr>
                <w:sz w:val="18"/>
              </w:rPr>
              <w:t>5</w:t>
            </w:r>
          </w:p>
        </w:tc>
      </w:tr>
      <w:tr>
        <w:tc>
          <w:tcPr>
            <w:tcW w:type="dxa" w:w="3168"/>
            <w:tcBorders>
              <w:top w:sz="4" w:val="single" w:color="CCCCCC"/>
              <w:left w:sz="4" w:val="single" w:color="CCCCCC"/>
              <w:bottom w:sz="4" w:val="single" w:color="CCCCCC"/>
              <w:right w:sz="4" w:val="single" w:color="CCCCCC"/>
            </w:tcBorders>
          </w:tcPr>
          <w:p>
            <w:r>
              <w:rPr>
                <w:sz w:val="18"/>
              </w:rPr>
            </w:r>
          </w:p>
        </w:tc>
        <w:tc>
          <w:tcPr>
            <w:tcW w:type="dxa" w:w="4608"/>
            <w:tcBorders>
              <w:top w:sz="4" w:val="single" w:color="CCCCCC"/>
              <w:left w:sz="4" w:val="single" w:color="CCCCCC"/>
              <w:bottom w:sz="4" w:val="single" w:color="CCCCCC"/>
              <w:right w:sz="4" w:val="single" w:color="CCCCCC"/>
            </w:tcBorders>
          </w:tcPr>
          <w:p>
            <w:r>
              <w:rPr>
                <w:sz w:val="18"/>
              </w:rPr>
              <w:t>Workforce commute &amp; labor market access</w:t>
            </w:r>
          </w:p>
        </w:tc>
        <w:tc>
          <w:tcPr>
            <w:tcW w:type="dxa" w:w="1152"/>
            <w:tcBorders>
              <w:top w:sz="4" w:val="single" w:color="CCCCCC"/>
              <w:left w:sz="4" w:val="single" w:color="CCCCCC"/>
              <w:bottom w:sz="4" w:val="single" w:color="CCCCCC"/>
              <w:right w:sz="4" w:val="single" w:color="CCCCCC"/>
            </w:tcBorders>
          </w:tcPr>
          <w:p>
            <w:r>
              <w:rPr>
                <w:sz w:val="18"/>
              </w:rPr>
              <w:t>5</w:t>
            </w:r>
          </w:p>
        </w:tc>
      </w:tr>
      <w:tr>
        <w:tc>
          <w:tcPr>
            <w:tcW w:type="dxa" w:w="3168"/>
            <w:tcBorders>
              <w:top w:sz="4" w:val="single" w:color="CCCCCC"/>
              <w:left w:sz="4" w:val="single" w:color="CCCCCC"/>
              <w:bottom w:sz="4" w:val="single" w:color="CCCCCC"/>
              <w:right w:sz="4" w:val="single" w:color="CCCCCC"/>
            </w:tcBorders>
          </w:tcPr>
          <w:p>
            <w:r>
              <w:rPr>
                <w:b/>
                <w:sz w:val="18"/>
              </w:rPr>
              <w:t>Business Impact</w:t>
            </w:r>
          </w:p>
        </w:tc>
        <w:tc>
          <w:tcPr>
            <w:tcW w:type="dxa" w:w="4608"/>
            <w:tcBorders>
              <w:top w:sz="4" w:val="single" w:color="CCCCCC"/>
              <w:left w:sz="4" w:val="single" w:color="CCCCCC"/>
              <w:bottom w:sz="4" w:val="single" w:color="CCCCCC"/>
              <w:right w:sz="4" w:val="single" w:color="CCCCCC"/>
            </w:tcBorders>
          </w:tcPr>
          <w:p>
            <w:r>
              <w:rPr>
                <w:b w:val="0"/>
                <w:sz w:val="18"/>
              </w:rPr>
              <w:t>Capital cost to implement</w:t>
            </w:r>
          </w:p>
        </w:tc>
        <w:tc>
          <w:tcPr>
            <w:tcW w:type="dxa" w:w="1152"/>
            <w:tcBorders>
              <w:top w:sz="4" w:val="single" w:color="CCCCCC"/>
              <w:left w:sz="4" w:val="single" w:color="CCCCCC"/>
              <w:bottom w:sz="4" w:val="single" w:color="CCCCCC"/>
              <w:right w:sz="4" w:val="single" w:color="CCCCCC"/>
            </w:tcBorders>
          </w:tcPr>
          <w:p>
            <w:r>
              <w:rPr>
                <w:b w:val="0"/>
                <w:sz w:val="18"/>
              </w:rPr>
              <w:t>10</w:t>
            </w:r>
          </w:p>
        </w:tc>
      </w:tr>
      <w:tr>
        <w:tc>
          <w:tcPr>
            <w:tcW w:type="dxa" w:w="3168"/>
            <w:tcBorders>
              <w:top w:sz="4" w:val="single" w:color="CCCCCC"/>
              <w:left w:sz="4" w:val="single" w:color="CCCCCC"/>
              <w:bottom w:sz="4" w:val="single" w:color="CCCCCC"/>
              <w:right w:sz="4" w:val="single" w:color="CCCCCC"/>
            </w:tcBorders>
          </w:tcPr>
          <w:p>
            <w:r>
              <w:rPr>
                <w:sz w:val="18"/>
              </w:rPr>
            </w:r>
          </w:p>
        </w:tc>
        <w:tc>
          <w:tcPr>
            <w:tcW w:type="dxa" w:w="4608"/>
            <w:tcBorders>
              <w:top w:sz="4" w:val="single" w:color="CCCCCC"/>
              <w:left w:sz="4" w:val="single" w:color="CCCCCC"/>
              <w:bottom w:sz="4" w:val="single" w:color="CCCCCC"/>
              <w:right w:sz="4" w:val="single" w:color="CCCCCC"/>
            </w:tcBorders>
          </w:tcPr>
          <w:p>
            <w:r>
              <w:rPr>
                <w:sz w:val="18"/>
              </w:rPr>
              <w:t>Speed to occupancy / schedule impact</w:t>
            </w:r>
          </w:p>
        </w:tc>
        <w:tc>
          <w:tcPr>
            <w:tcW w:type="dxa" w:w="1152"/>
            <w:tcBorders>
              <w:top w:sz="4" w:val="single" w:color="CCCCCC"/>
              <w:left w:sz="4" w:val="single" w:color="CCCCCC"/>
              <w:bottom w:sz="4" w:val="single" w:color="CCCCCC"/>
              <w:right w:sz="4" w:val="single" w:color="CCCCCC"/>
            </w:tcBorders>
          </w:tcPr>
          <w:p>
            <w:r>
              <w:rPr>
                <w:sz w:val="18"/>
              </w:rPr>
              <w:t>10</w:t>
            </w:r>
          </w:p>
        </w:tc>
      </w:tr>
      <w:tr>
        <w:tc>
          <w:tcPr>
            <w:tcW w:type="dxa" w:w="3168"/>
            <w:tcBorders>
              <w:top w:sz="4" w:val="single" w:color="CCCCCC"/>
              <w:left w:sz="4" w:val="single" w:color="CCCCCC"/>
              <w:bottom w:sz="4" w:val="single" w:color="CCCCCC"/>
              <w:right w:sz="4" w:val="single" w:color="CCCCCC"/>
            </w:tcBorders>
          </w:tcPr>
          <w:p>
            <w:r>
              <w:rPr>
                <w:b/>
                <w:sz w:val="18"/>
              </w:rPr>
              <w:t>Operations</w:t>
            </w:r>
          </w:p>
        </w:tc>
        <w:tc>
          <w:tcPr>
            <w:tcW w:type="dxa" w:w="4608"/>
            <w:tcBorders>
              <w:top w:sz="4" w:val="single" w:color="CCCCCC"/>
              <w:left w:sz="4" w:val="single" w:color="CCCCCC"/>
              <w:bottom w:sz="4" w:val="single" w:color="CCCCCC"/>
              <w:right w:sz="4" w:val="single" w:color="CCCCCC"/>
            </w:tcBorders>
          </w:tcPr>
          <w:p>
            <w:r>
              <w:rPr>
                <w:b w:val="0"/>
                <w:sz w:val="18"/>
              </w:rPr>
              <w:t>Material &amp; people flow efficiency (High-Level Flows)</w:t>
            </w:r>
          </w:p>
        </w:tc>
        <w:tc>
          <w:tcPr>
            <w:tcW w:type="dxa" w:w="1152"/>
            <w:tcBorders>
              <w:top w:sz="4" w:val="single" w:color="CCCCCC"/>
              <w:left w:sz="4" w:val="single" w:color="CCCCCC"/>
              <w:bottom w:sz="4" w:val="single" w:color="CCCCCC"/>
              <w:right w:sz="4" w:val="single" w:color="CCCCCC"/>
            </w:tcBorders>
          </w:tcPr>
          <w:p>
            <w:r>
              <w:rPr>
                <w:b w:val="0"/>
                <w:sz w:val="18"/>
              </w:rPr>
              <w:t>10</w:t>
            </w:r>
          </w:p>
        </w:tc>
      </w:tr>
      <w:tr>
        <w:tc>
          <w:tcPr>
            <w:tcW w:type="dxa" w:w="3168"/>
            <w:tcBorders>
              <w:top w:sz="4" w:val="single" w:color="CCCCCC"/>
              <w:left w:sz="4" w:val="single" w:color="CCCCCC"/>
              <w:bottom w:sz="4" w:val="single" w:color="CCCCCC"/>
              <w:right w:sz="4" w:val="single" w:color="CCCCCC"/>
            </w:tcBorders>
          </w:tcPr>
          <w:p>
            <w:r>
              <w:rPr>
                <w:sz w:val="18"/>
              </w:rPr>
            </w:r>
          </w:p>
        </w:tc>
        <w:tc>
          <w:tcPr>
            <w:tcW w:type="dxa" w:w="4608"/>
            <w:tcBorders>
              <w:top w:sz="4" w:val="single" w:color="CCCCCC"/>
              <w:left w:sz="4" w:val="single" w:color="CCCCCC"/>
              <w:bottom w:sz="4" w:val="single" w:color="CCCCCC"/>
              <w:right w:sz="4" w:val="single" w:color="CCCCCC"/>
            </w:tcBorders>
          </w:tcPr>
          <w:p>
            <w:r>
              <w:rPr>
                <w:sz w:val="18"/>
              </w:rPr>
              <w:t>Relationship / adjacency fit (Relationship Chart Worksheet)</w:t>
            </w:r>
          </w:p>
        </w:tc>
        <w:tc>
          <w:tcPr>
            <w:tcW w:type="dxa" w:w="1152"/>
            <w:tcBorders>
              <w:top w:sz="4" w:val="single" w:color="CCCCCC"/>
              <w:left w:sz="4" w:val="single" w:color="CCCCCC"/>
              <w:bottom w:sz="4" w:val="single" w:color="CCCCCC"/>
              <w:right w:sz="4" w:val="single" w:color="CCCCCC"/>
            </w:tcBorders>
          </w:tcPr>
          <w:p>
            <w:r>
              <w:rPr>
                <w:sz w:val="18"/>
              </w:rPr>
              <w:t>10</w:t>
            </w:r>
          </w:p>
        </w:tc>
      </w:tr>
      <w:tr>
        <w:tc>
          <w:tcPr>
            <w:tcW w:type="dxa" w:w="3168"/>
            <w:tcBorders>
              <w:top w:sz="4" w:val="single" w:color="CCCCCC"/>
              <w:left w:sz="4" w:val="single" w:color="CCCCCC"/>
              <w:bottom w:sz="4" w:val="single" w:color="CCCCCC"/>
              <w:right w:sz="4" w:val="single" w:color="CCCCCC"/>
            </w:tcBorders>
          </w:tcPr>
          <w:p>
            <w:r>
              <w:rPr>
                <w:sz w:val="18"/>
              </w:rPr>
            </w:r>
          </w:p>
        </w:tc>
        <w:tc>
          <w:tcPr>
            <w:tcW w:type="dxa" w:w="4608"/>
            <w:tcBorders>
              <w:top w:sz="4" w:val="single" w:color="CCCCCC"/>
              <w:left w:sz="4" w:val="single" w:color="CCCCCC"/>
              <w:bottom w:sz="4" w:val="single" w:color="CCCCCC"/>
              <w:right w:sz="4" w:val="single" w:color="CCCCCC"/>
            </w:tcBorders>
          </w:tcPr>
          <w:p>
            <w:r>
              <w:rPr>
                <w:sz w:val="18"/>
              </w:rPr>
              <w:t>Capacity fit (preliminary capacity read)</w:t>
            </w:r>
          </w:p>
        </w:tc>
        <w:tc>
          <w:tcPr>
            <w:tcW w:type="dxa" w:w="1152"/>
            <w:tcBorders>
              <w:top w:sz="4" w:val="single" w:color="CCCCCC"/>
              <w:left w:sz="4" w:val="single" w:color="CCCCCC"/>
              <w:bottom w:sz="4" w:val="single" w:color="CCCCCC"/>
              <w:right w:sz="4" w:val="single" w:color="CCCCCC"/>
            </w:tcBorders>
          </w:tcPr>
          <w:p>
            <w:r>
              <w:rPr>
                <w:sz w:val="18"/>
              </w:rPr>
              <w:t>8</w:t>
            </w:r>
          </w:p>
        </w:tc>
      </w:tr>
      <w:tr>
        <w:tc>
          <w:tcPr>
            <w:tcW w:type="dxa" w:w="3168"/>
            <w:tcBorders>
              <w:top w:sz="4" w:val="single" w:color="CCCCCC"/>
              <w:left w:sz="4" w:val="single" w:color="CCCCCC"/>
              <w:bottom w:sz="4" w:val="single" w:color="CCCCCC"/>
              <w:right w:sz="4" w:val="single" w:color="CCCCCC"/>
            </w:tcBorders>
          </w:tcPr>
          <w:p>
            <w:r>
              <w:rPr>
                <w:sz w:val="18"/>
              </w:rPr>
            </w:r>
          </w:p>
        </w:tc>
        <w:tc>
          <w:tcPr>
            <w:tcW w:type="dxa" w:w="4608"/>
            <w:tcBorders>
              <w:top w:sz="4" w:val="single" w:color="CCCCCC"/>
              <w:left w:sz="4" w:val="single" w:color="CCCCCC"/>
              <w:bottom w:sz="4" w:val="single" w:color="CCCCCC"/>
              <w:right w:sz="4" w:val="single" w:color="CCCCCC"/>
            </w:tcBorders>
          </w:tcPr>
          <w:p>
            <w:r>
              <w:rPr>
                <w:sz w:val="18"/>
              </w:rPr>
              <w:t>Space fit (Activity List &amp; Space Requirements Worksheet)</w:t>
            </w:r>
          </w:p>
        </w:tc>
        <w:tc>
          <w:tcPr>
            <w:tcW w:type="dxa" w:w="1152"/>
            <w:tcBorders>
              <w:top w:sz="4" w:val="single" w:color="CCCCCC"/>
              <w:left w:sz="4" w:val="single" w:color="CCCCCC"/>
              <w:bottom w:sz="4" w:val="single" w:color="CCCCCC"/>
              <w:right w:sz="4" w:val="single" w:color="CCCCCC"/>
            </w:tcBorders>
          </w:tcPr>
          <w:p>
            <w:r>
              <w:rPr>
                <w:sz w:val="18"/>
              </w:rPr>
              <w:t>7</w:t>
            </w:r>
          </w:p>
        </w:tc>
      </w:tr>
      <w:tr>
        <w:tc>
          <w:tcPr>
            <w:tcW w:type="dxa" w:w="3168"/>
            <w:tcBorders>
              <w:top w:sz="4" w:val="single" w:color="CCCCCC"/>
              <w:left w:sz="4" w:val="single" w:color="CCCCCC"/>
              <w:bottom w:sz="4" w:val="single" w:color="CCCCCC"/>
              <w:right w:sz="4" w:val="single" w:color="CCCCCC"/>
            </w:tcBorders>
          </w:tcPr>
          <w:p>
            <w:r>
              <w:rPr>
                <w:b/>
                <w:sz w:val="18"/>
              </w:rPr>
              <w:t>Physical Practicality</w:t>
            </w:r>
          </w:p>
        </w:tc>
        <w:tc>
          <w:tcPr>
            <w:tcW w:type="dxa" w:w="4608"/>
            <w:tcBorders>
              <w:top w:sz="4" w:val="single" w:color="CCCCCC"/>
              <w:left w:sz="4" w:val="single" w:color="CCCCCC"/>
              <w:bottom w:sz="4" w:val="single" w:color="CCCCCC"/>
              <w:right w:sz="4" w:val="single" w:color="CCCCCC"/>
            </w:tcBorders>
          </w:tcPr>
          <w:p>
            <w:r>
              <w:rPr>
                <w:b w:val="0"/>
                <w:sz w:val="18"/>
              </w:rPr>
              <w:t>Site &amp; building constraint fit</w:t>
            </w:r>
          </w:p>
        </w:tc>
        <w:tc>
          <w:tcPr>
            <w:tcW w:type="dxa" w:w="1152"/>
            <w:tcBorders>
              <w:top w:sz="4" w:val="single" w:color="CCCCCC"/>
              <w:left w:sz="4" w:val="single" w:color="CCCCCC"/>
              <w:bottom w:sz="4" w:val="single" w:color="CCCCCC"/>
              <w:right w:sz="4" w:val="single" w:color="CCCCCC"/>
            </w:tcBorders>
          </w:tcPr>
          <w:p>
            <w:r>
              <w:rPr>
                <w:b w:val="0"/>
                <w:sz w:val="18"/>
              </w:rPr>
              <w:t>8</w:t>
            </w:r>
          </w:p>
        </w:tc>
      </w:tr>
      <w:tr>
        <w:tc>
          <w:tcPr>
            <w:tcW w:type="dxa" w:w="3168"/>
            <w:tcBorders>
              <w:top w:sz="4" w:val="single" w:color="CCCCCC"/>
              <w:left w:sz="4" w:val="single" w:color="CCCCCC"/>
              <w:bottom w:sz="4" w:val="single" w:color="CCCCCC"/>
              <w:right w:sz="4" w:val="single" w:color="CCCCCC"/>
            </w:tcBorders>
          </w:tcPr>
          <w:p>
            <w:r>
              <w:rPr>
                <w:sz w:val="18"/>
              </w:rPr>
            </w:r>
          </w:p>
        </w:tc>
        <w:tc>
          <w:tcPr>
            <w:tcW w:type="dxa" w:w="4608"/>
            <w:tcBorders>
              <w:top w:sz="4" w:val="single" w:color="CCCCCC"/>
              <w:left w:sz="4" w:val="single" w:color="CCCCCC"/>
              <w:bottom w:sz="4" w:val="single" w:color="CCCCCC"/>
              <w:right w:sz="4" w:val="single" w:color="CCCCCC"/>
            </w:tcBorders>
          </w:tcPr>
          <w:p>
            <w:r>
              <w:rPr>
                <w:sz w:val="18"/>
              </w:rPr>
              <w:t>Constructability / permitting risk</w:t>
            </w:r>
          </w:p>
        </w:tc>
        <w:tc>
          <w:tcPr>
            <w:tcW w:type="dxa" w:w="1152"/>
            <w:tcBorders>
              <w:top w:sz="4" w:val="single" w:color="CCCCCC"/>
              <w:left w:sz="4" w:val="single" w:color="CCCCCC"/>
              <w:bottom w:sz="4" w:val="single" w:color="CCCCCC"/>
              <w:right w:sz="4" w:val="single" w:color="CCCCCC"/>
            </w:tcBorders>
          </w:tcPr>
          <w:p>
            <w:r>
              <w:rPr>
                <w:sz w:val="18"/>
              </w:rPr>
              <w:t>7</w:t>
            </w:r>
          </w:p>
        </w:tc>
      </w:tr>
      <w:tr>
        <w:tc>
          <w:tcPr>
            <w:tcW w:type="dxa" w:w="3168"/>
            <w:tcBorders>
              <w:top w:sz="4" w:val="single" w:color="CCCCCC"/>
              <w:left w:sz="4" w:val="single" w:color="CCCCCC"/>
              <w:bottom w:sz="4" w:val="single" w:color="CCCCCC"/>
              <w:right w:sz="4" w:val="single" w:color="CCCCCC"/>
            </w:tcBorders>
          </w:tcPr>
          <w:p>
            <w:r>
              <w:rPr>
                <w:b/>
                <w:sz w:val="18"/>
              </w:rPr>
              <w:t>Future Flexibility</w:t>
            </w:r>
          </w:p>
        </w:tc>
        <w:tc>
          <w:tcPr>
            <w:tcW w:type="dxa" w:w="4608"/>
            <w:tcBorders>
              <w:top w:sz="4" w:val="single" w:color="CCCCCC"/>
              <w:left w:sz="4" w:val="single" w:color="CCCCCC"/>
              <w:bottom w:sz="4" w:val="single" w:color="CCCCCC"/>
              <w:right w:sz="4" w:val="single" w:color="CCCCCC"/>
            </w:tcBorders>
          </w:tcPr>
          <w:p>
            <w:r>
              <w:rPr>
                <w:b w:val="0"/>
                <w:sz w:val="18"/>
              </w:rPr>
              <w:t>Expansion capacity</w:t>
            </w:r>
          </w:p>
        </w:tc>
        <w:tc>
          <w:tcPr>
            <w:tcW w:type="dxa" w:w="1152"/>
            <w:tcBorders>
              <w:top w:sz="4" w:val="single" w:color="CCCCCC"/>
              <w:left w:sz="4" w:val="single" w:color="CCCCCC"/>
              <w:bottom w:sz="4" w:val="single" w:color="CCCCCC"/>
              <w:right w:sz="4" w:val="single" w:color="CCCCCC"/>
            </w:tcBorders>
          </w:tcPr>
          <w:p>
            <w:r>
              <w:rPr>
                <w:b w:val="0"/>
                <w:sz w:val="18"/>
              </w:rPr>
              <w:t>8</w:t>
            </w:r>
          </w:p>
        </w:tc>
      </w:tr>
      <w:tr>
        <w:tc>
          <w:tcPr>
            <w:tcW w:type="dxa" w:w="3168"/>
            <w:tcBorders>
              <w:top w:sz="4" w:val="single" w:color="CCCCCC"/>
              <w:left w:sz="4" w:val="single" w:color="CCCCCC"/>
              <w:bottom w:sz="4" w:val="single" w:color="CCCCCC"/>
              <w:right w:sz="4" w:val="single" w:color="CCCCCC"/>
            </w:tcBorders>
          </w:tcPr>
          <w:p>
            <w:r>
              <w:rPr>
                <w:sz w:val="18"/>
              </w:rPr>
            </w:r>
          </w:p>
        </w:tc>
        <w:tc>
          <w:tcPr>
            <w:tcW w:type="dxa" w:w="4608"/>
            <w:tcBorders>
              <w:top w:sz="4" w:val="single" w:color="CCCCCC"/>
              <w:left w:sz="4" w:val="single" w:color="CCCCCC"/>
              <w:bottom w:sz="4" w:val="single" w:color="CCCCCC"/>
              <w:right w:sz="4" w:val="single" w:color="CCCCCC"/>
            </w:tcBorders>
          </w:tcPr>
          <w:p>
            <w:r>
              <w:rPr>
                <w:sz w:val="18"/>
              </w:rPr>
              <w:t>Adaptability to product/process change</w:t>
            </w:r>
          </w:p>
        </w:tc>
        <w:tc>
          <w:tcPr>
            <w:tcW w:type="dxa" w:w="1152"/>
            <w:tcBorders>
              <w:top w:sz="4" w:val="single" w:color="CCCCCC"/>
              <w:left w:sz="4" w:val="single" w:color="CCCCCC"/>
              <w:bottom w:sz="4" w:val="single" w:color="CCCCCC"/>
              <w:right w:sz="4" w:val="single" w:color="CCCCCC"/>
            </w:tcBorders>
          </w:tcPr>
          <w:p>
            <w:r>
              <w:rPr>
                <w:sz w:val="18"/>
              </w:rPr>
              <w:t>7</w:t>
            </w:r>
          </w:p>
        </w:tc>
      </w:tr>
      <w:tr>
        <w:tc>
          <w:tcPr>
            <w:tcW w:type="dxa" w:w="3216"/>
            <w:shd w:val="clear" w:color="auto" w:fill="F2F2F0"/>
          </w:tcPr>
          <w:p>
            <w:r>
              <w:rPr>
                <w:b/>
              </w:rPr>
              <w:t>TOTAL</w:t>
            </w:r>
          </w:p>
        </w:tc>
        <w:tc>
          <w:tcPr>
            <w:tcW w:type="dxa" w:w="3216"/>
            <w:shd w:val="clear" w:color="auto" w:fill="F2F2F0"/>
          </w:tcPr>
          <w:p/>
        </w:tc>
        <w:tc>
          <w:tcPr>
            <w:tcW w:type="dxa" w:w="3216"/>
            <w:shd w:val="clear" w:color="auto" w:fill="F2F2F0"/>
          </w:tcPr>
          <w:p>
            <w:r>
              <w:rPr>
                <w:b/>
              </w:rPr>
              <w:t>100</w:t>
            </w:r>
          </w:p>
        </w:tc>
      </w:tr>
    </w:tbl>
    <w:p>
      <w:pPr>
        <w:spacing w:after="160"/>
      </w:pPr>
      <w:r>
        <w:rPr>
          <w:b w:val="0"/>
          <w:i w:val="0"/>
          <w:sz w:val="18"/>
        </w:rPr>
        <w:t>Domains and weights above are a first-pass default (deliberately summing to 100, echoing the Facility Readiness Score's own scale) — adjust to match the client's actual priorities before running a real session.</w:t>
      </w:r>
    </w:p>
    <w:p>
      <w:pPr>
        <w:spacing w:before="0" w:after="0"/>
        <w:rPr>
          <w:sz w:val="2"/>
        </w:rPr>
      </w:pPr>
    </w:p>
    <w:sectPr w:rsidR="00FC693F" w:rsidRPr="0006063C" w:rsidSect="00034616">
      <w:footerReference w:type="default" r:id="rId9"/>
      <w:pgSz w:w="12240" w:h="15840"/>
      <w:pgMar w:top="1008" w:right="1296" w:bottom="1008"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555555"/>
        <w:sz w:val="17"/>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