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1F2D3D"/>
          <w:sz w:val="20"/>
        </w:rPr>
        <w:t>VERITAS CONCEPT ENGINEERING</w:t>
      </w:r>
    </w:p>
    <w:p>
      <w:pPr>
        <w:spacing w:after="200"/>
      </w:pPr>
      <w:r>
        <w:rPr>
          <w:i/>
          <w:color w:val="555555"/>
          <w:sz w:val="18"/>
        </w:rPr>
        <w:t>Facilities Planning Consulting — Robin Owens</w:t>
      </w:r>
    </w:p>
    <w:p>
      <w:pPr>
        <w:spacing w:after="40"/>
      </w:pPr>
      <w:r>
        <w:rPr>
          <w:b/>
          <w:color w:val="B8862E"/>
          <w:sz w:val="16"/>
        </w:rPr>
        <w:t>FRF · PHASE 2 OF 4 · DEFINE THE SCOPE</w:t>
      </w:r>
    </w:p>
    <w:p>
      <w:pPr>
        <w:spacing w:after="40"/>
      </w:pPr>
      <w:r>
        <w:rPr>
          <w:b/>
          <w:color w:val="1F2D3D"/>
          <w:sz w:val="40"/>
        </w:rPr>
        <w:t>Selection Decision Record</w:t>
      </w:r>
    </w:p>
    <w:p>
      <w:pPr>
        <w:spacing w:after="240"/>
      </w:pPr>
      <w:r>
        <w:rPr>
          <w:i/>
          <w:color w:val="B8862E"/>
          <w:sz w:val="24"/>
        </w:rPr>
        <w:t>Phase 2 — Define the Scope (Gate 2: Scope Locked — Non-Compensable Gate)</w:t>
      </w:r>
    </w:p>
    <w:p>
      <w:pPr>
        <w:spacing w:after="160"/>
      </w:pPr>
      <w:r>
        <w:rPr>
          <w:b w:val="0"/>
          <w:i w:val="0"/>
          <w:sz w:val="19"/>
        </w:rPr>
        <w:t>The record that formally closes the Select step — which alternative won, by how much, and why. A margin under 15% over the runner-up is a trigger for a sensitivity review of the scoring and weights before locking in the decision — not a rule that disqualifies a close win. The selected alternative must have been eligible for scoring under Form 09's Mandatory Constraints Screen (Part A) — a strong scorecard total never substitutes for that.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6192"/>
      </w:tblGrid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Selected Alternative Name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Eligible Under Form 09 Part A? (Y/N)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  <w:r>
              <w:rPr>
                <w:i/>
                <w:color w:val="555555"/>
                <w:sz w:val="16"/>
              </w:rPr>
              <w:t>Y only if every constraint row for this alternative reads Pass or a valid Approved Exception — a single Fail or Not Verified makes this N, and this record cannot be completed for this alternative until it's resolved</w:t>
            </w:r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Approved Exception Constraint IDs, if any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  <w:r>
              <w:rPr>
                <w:i/>
                <w:color w:val="555555"/>
                <w:sz w:val="16"/>
              </w:rPr>
              <w:t>List each Form 01 Constraint ID carried as an Approved Exception for this alternative — an alternative can be Eligible with ten Pass results and one Approved Exception; this field is what makes that visible, rather than collapsing it into a single overall result</w:t>
            </w:r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Scorecard Total — Selected (out of 100)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Scorecard Total — Runner-Up (out of 100)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% Margin Above Runner-Up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Shell-Fit Decision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  <w:r>
              <w:rPr>
                <w:i/>
                <w:color w:val="555555"/>
                <w:sz w:val="16"/>
              </w:rPr>
              <w:t>Existing Building / New Building</w:t>
            </w:r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Rationale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Reconfirmed Before Gate 2 Against Completed Capacity, Flow, Space &amp; Utility Analyses (Forms 11–15)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  <w:r>
              <w:rPr>
                <w:i/>
                <w:color w:val="555555"/>
                <w:sz w:val="16"/>
              </w:rPr>
              <w:t>Y/N, Reviewer, Date — this screen was run at Select-step time, often on preliminary evidence; it has to be checked again once that detailed work is finished, before Gate 2 closes</w:t>
            </w:r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Approved By — Name, Title, Signature, Date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</w:tbl>
    <w:p>
      <w:pPr>
        <w:spacing w:before="0" w:after="0"/>
        <w:rPr>
          <w:sz w:val="2"/>
        </w:rPr>
      </w:pPr>
    </w:p>
    <w:sectPr w:rsidR="00FC693F" w:rsidRPr="0006063C" w:rsidSect="00034616">
      <w:footerReference w:type="default" r:id="rId9"/>
      <w:pgSz w:w="12240" w:h="15840"/>
      <w:pgMar w:top="1008" w:right="1296" w:bottom="1008" w:left="1296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CCCCCC"/>
      </w:pBdr>
    </w:pPr>
    <w:r/>
    <w:r>
      <w:rPr>
        <w:color w:val="555555"/>
        <w:sz w:val="17"/>
      </w:rPr>
      <w:t>Veritas Concept Engineering  ·  Robin Owens  ·  www.veritasconcept.com</w:t>
    </w:r>
  </w:p>
  <w:p>
    <w:pPr>
      <w:jc w:val="center"/>
    </w:pPr>
    <w:r>
      <w:rPr>
        <w:i/>
        <w:color w:val="555555"/>
        <w:sz w:val="16"/>
      </w:rPr>
      <w:t>Part of the Facility Readiness Framework (FRF) — free for public use. Download, adapt, and use for your own capital-project planning.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