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b/>
          <w:color w:val="1F2D3D"/>
          <w:sz w:val="20"/>
        </w:rPr>
        <w:t>VERITAS CONCEPT ENGINEERING</w:t>
      </w:r>
    </w:p>
    <w:p>
      <w:pPr>
        <w:spacing w:after="200"/>
      </w:pPr>
      <w:r>
        <w:rPr>
          <w:i/>
          <w:color w:val="555555"/>
          <w:sz w:val="18"/>
        </w:rPr>
        <w:t>Facilities Planning Consulting — Robin Owens</w:t>
      </w:r>
    </w:p>
    <w:p>
      <w:pPr>
        <w:spacing w:after="40"/>
      </w:pPr>
      <w:r>
        <w:rPr>
          <w:b/>
          <w:color w:val="B8862E"/>
          <w:sz w:val="16"/>
        </w:rPr>
        <w:t>FRF · PHASE 2 OF 4 · DEFINE THE SCOPE</w:t>
      </w:r>
    </w:p>
    <w:p>
      <w:pPr>
        <w:spacing w:after="40"/>
      </w:pPr>
      <w:r>
        <w:rPr>
          <w:b/>
          <w:color w:val="1F2D3D"/>
          <w:sz w:val="40"/>
        </w:rPr>
        <w:t>Capacity Model Worksheet</w:t>
      </w:r>
    </w:p>
    <w:p>
      <w:pPr>
        <w:spacing w:after="240"/>
      </w:pPr>
      <w:r>
        <w:rPr>
          <w:i/>
          <w:color w:val="B8862E"/>
          <w:sz w:val="24"/>
        </w:rPr>
        <w:t>Phase 2 — Define the Scope (Gate 2: Scope Locked — Non-Compensable Gate)</w:t>
      </w:r>
    </w:p>
    <w:p>
      <w:pPr>
        <w:spacing w:after="160"/>
      </w:pPr>
      <w:r>
        <w:rPr>
          <w:b w:val="0"/>
          <w:i w:val="0"/>
          <w:sz w:val="19"/>
        </w:rPr>
        <w:t>Compares required throughput against demonstrated or supportable throughput — incorporating cycle times, takt or demand rate, utilization, yield, changeovers, downtime, and demand variability — tested against expected, peak, and future-growth scenarios. Routing data (which resources each line visits, in order and how often) comes from the Operating Sequence and Routing Worksheet by Routing ID; this form then does the arithmetic the routing data doesn't do on its own — calculating the load each routing puts on each shared resource, applying each routing's branch share so alternative branches through the same resource aren't each charged the full demand volume, and aggregating the result into a required resource count by resource, not just referencing the routing and stopping there. The model must produce, not just accompany, the resulting equipment/workstation counts (including redundancy or surge units, applied explicitly rather than left ambiguous), staffing by function and shift, space needs, material-handling requirements, and utility demand.</w:t>
      </w:r>
    </w:p>
    <w:p>
      <w:pPr>
        <w:spacing w:after="160"/>
      </w:pPr>
      <w:r>
        <w:rPr>
          <w:b w:val="0"/>
          <w:i w:val="0"/>
          <w:sz w:val="19"/>
        </w:rPr>
        <w:t>A generic capacity model: it applies wherever something moves through a building. "Process / product / service line" can mean a product family, a service line, a patient pathway, or a workflow; "resource / equipment / workstation" can mean a machine, a treatment bay, a classroom, or a desk. Work through Parts A-E to establish required vs. demonstrated capacity under real conditions, not an averaged guess, and the resource-level load each routing actually puts on a shared resource; Parts F-I are what that model has to produce.</w:t>
      </w:r>
    </w:p>
    <w:p>
      <w:pPr>
        <w:spacing w:before="280" w:after="120"/>
        <w:pBdr>
          <w:bottom w:val="single" w:sz="6" w:space="2" w:color="B8862E"/>
        </w:pBdr>
      </w:pPr>
      <w:r>
        <w:rPr>
          <w:b/>
          <w:color w:val="1F2D3D"/>
          <w:sz w:val="26"/>
        </w:rPr>
        <w:t>Part A — Demand, Timing &amp; Service Requirements</w:t>
      </w:r>
    </w:p>
    <w:tbl>
      <w:tblPr>
        <w:tblW w:type="auto" w:w="0"/>
        <w:tblLayout w:type="fixed"/>
        <w:tblLook w:firstColumn="1" w:firstRow="1" w:lastColumn="0" w:lastRow="0" w:noHBand="0" w:noVBand="1" w:val="04A0"/>
      </w:tblPr>
      <w:tblGrid>
        <w:gridCol w:w="1008"/>
        <w:gridCol w:w="2016"/>
        <w:gridCol w:w="1728"/>
        <w:gridCol w:w="2304"/>
        <w:gridCol w:w="2448"/>
      </w:tblGrid>
      <w:tr>
        <w:trPr>
          <w:cantSplit w:val="true"/>
          <w:tblHeader w:val="true"/>
        </w:trPr>
        <w:tc>
          <w:tcPr>
            <w:tcW w:type="dxa" w:w="1008"/>
            <w:shd w:val="clear" w:color="auto" w:fill="1F2D3D"/>
            <w:tcBorders>
              <w:top w:sz="4" w:val="single" w:color="CCCCCC"/>
              <w:left w:sz="4" w:val="single" w:color="CCCCCC"/>
              <w:bottom w:sz="4" w:val="single" w:color="CCCCCC"/>
              <w:right w:sz="4" w:val="single" w:color="CCCCCC"/>
            </w:tcBorders>
          </w:tcPr>
          <w:p>
            <w:r>
              <w:rPr>
                <w:b/>
                <w:color w:val="FFFFFF"/>
                <w:sz w:val="17"/>
              </w:rPr>
              <w:t>Routing ID (ref. Form 05)</w:t>
            </w:r>
          </w:p>
        </w:tc>
        <w:tc>
          <w:tcPr>
            <w:tcW w:type="dxa" w:w="2016"/>
            <w:shd w:val="clear" w:color="auto" w:fill="1F2D3D"/>
            <w:tcBorders>
              <w:top w:sz="4" w:val="single" w:color="CCCCCC"/>
              <w:left w:sz="4" w:val="single" w:color="CCCCCC"/>
              <w:bottom w:sz="4" w:val="single" w:color="CCCCCC"/>
              <w:right w:sz="4" w:val="single" w:color="CCCCCC"/>
            </w:tcBorders>
          </w:tcPr>
          <w:p>
            <w:r>
              <w:rPr>
                <w:b/>
                <w:color w:val="FFFFFF"/>
                <w:sz w:val="17"/>
              </w:rPr>
              <w:t>Process / Product / Service Line</w:t>
            </w:r>
          </w:p>
        </w:tc>
        <w:tc>
          <w:tcPr>
            <w:tcW w:type="dxa" w:w="1728"/>
            <w:shd w:val="clear" w:color="auto" w:fill="1F2D3D"/>
            <w:tcBorders>
              <w:top w:sz="4" w:val="single" w:color="CCCCCC"/>
              <w:left w:sz="4" w:val="single" w:color="CCCCCC"/>
              <w:bottom w:sz="4" w:val="single" w:color="CCCCCC"/>
              <w:right w:sz="4" w:val="single" w:color="CCCCCC"/>
            </w:tcBorders>
          </w:tcPr>
          <w:p>
            <w:r>
              <w:rPr>
                <w:b/>
                <w:color w:val="FFFFFF"/>
                <w:sz w:val="17"/>
              </w:rPr>
              <w:t>Demand Volume (period)</w:t>
            </w:r>
          </w:p>
        </w:tc>
        <w:tc>
          <w:tcPr>
            <w:tcW w:type="dxa" w:w="2304"/>
            <w:shd w:val="clear" w:color="auto" w:fill="1F2D3D"/>
            <w:tcBorders>
              <w:top w:sz="4" w:val="single" w:color="CCCCCC"/>
              <w:left w:sz="4" w:val="single" w:color="CCCCCC"/>
              <w:bottom w:sz="4" w:val="single" w:color="CCCCCC"/>
              <w:right w:sz="4" w:val="single" w:color="CCCCCC"/>
            </w:tcBorders>
          </w:tcPr>
          <w:p>
            <w:r>
              <w:rPr>
                <w:b/>
                <w:color w:val="FFFFFF"/>
                <w:sz w:val="17"/>
              </w:rPr>
              <w:t>Cycle Time / Takt or Demand Rate</w:t>
            </w:r>
          </w:p>
        </w:tc>
        <w:tc>
          <w:tcPr>
            <w:tcW w:type="dxa" w:w="2448"/>
            <w:shd w:val="clear" w:color="auto" w:fill="1F2D3D"/>
            <w:tcBorders>
              <w:top w:sz="4" w:val="single" w:color="CCCCCC"/>
              <w:left w:sz="4" w:val="single" w:color="CCCCCC"/>
              <w:bottom w:sz="4" w:val="single" w:color="CCCCCC"/>
              <w:right w:sz="4" w:val="single" w:color="CCCCCC"/>
            </w:tcBorders>
          </w:tcPr>
          <w:p>
            <w:r>
              <w:rPr>
                <w:b/>
                <w:color w:val="FFFFFF"/>
                <w:sz w:val="17"/>
              </w:rPr>
              <w:t>Service-Level or Queue Requirement</w:t>
            </w:r>
          </w:p>
        </w:tc>
      </w:tr>
      <w:tr>
        <w:trPr>
          <w:cantSplit w:val="true"/>
        </w:trPr>
        <w:tc>
          <w:tcPr>
            <w:tcW w:type="dxa" w:w="1008"/>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r>
        <w:trPr>
          <w:cantSplit w:val="true"/>
        </w:trPr>
        <w:tc>
          <w:tcPr>
            <w:tcW w:type="dxa" w:w="1008"/>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r>
        <w:trPr>
          <w:cantSplit w:val="true"/>
        </w:trPr>
        <w:tc>
          <w:tcPr>
            <w:tcW w:type="dxa" w:w="1008"/>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r>
        <w:trPr>
          <w:cantSplit w:val="true"/>
        </w:trPr>
        <w:tc>
          <w:tcPr>
            <w:tcW w:type="dxa" w:w="1008"/>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r>
        <w:trPr>
          <w:cantSplit w:val="true"/>
        </w:trPr>
        <w:tc>
          <w:tcPr>
            <w:tcW w:type="dxa" w:w="1008"/>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bl>
    <w:p>
      <w:pPr>
        <w:spacing w:before="280" w:after="120"/>
        <w:pBdr>
          <w:bottom w:val="single" w:sz="6" w:space="2" w:color="B8862E"/>
        </w:pBdr>
      </w:pPr>
      <w:r>
        <w:rPr>
          <w:b/>
          <w:color w:val="1F2D3D"/>
          <w:sz w:val="26"/>
        </w:rPr>
        <w:t>Part B — Resource-Load Calculation (by Routing ID &amp; Resource)</w:t>
      </w:r>
    </w:p>
    <w:p>
      <w:pPr>
        <w:spacing w:after="160"/>
      </w:pPr>
      <w:r>
        <w:rPr>
          <w:b w:val="0"/>
          <w:i w:val="0"/>
          <w:sz w:val="18"/>
        </w:rPr>
        <w:t>One row per Routing ID/resource combination pulled from the Operating Sequence and Routing Worksheet (Form 05): the load that routing puts on that resource, in hours. Required Load Hours = Demand x Routing or Branch Share % x Visits per Unit x Time per Visit — the branch share keeps two or more alternative routings through the same resource from each being charged the full demand volume, which would overstate load and required resources; Form 05's branch shares at each split should already sum to 100%, so check there first if this number looks wrong. Time per Visit is in hours — convert before entering it here if source data comes in minutes or another unit. Demand (period), Required Load Hours (period), and Effective Hours per Resource (period) must all use the same period (the same week, shift, or other interval) — mixing periods is the single most common way this calculation silently comes out wrong.</w:t>
      </w:r>
    </w:p>
    <w:p>
      <w:pPr>
        <w:spacing w:after="160"/>
      </w:pPr>
      <w:r>
        <w:rPr>
          <w:b w:val="0"/>
          <w:i w:val="0"/>
          <w:sz w:val="18"/>
        </w:rPr>
        <w:t>Required Resource Count = Required Load Hours / Effective Hours per Resource; this is a calculated figure and is expected to come out fractional — it is not yet the whole number of machines, bays, or stations to actually install (see Part F). Effective Hours per Resource = (Scheduled Hours minus Total Changeover/Setup Time per Period) x Utilization % x (1 minus Unplanned Downtime %) — draw Utilization, Changeover/Setup, and Unplanned Downtime from Part C for the resource's process/product/service line, not a separate number asserted here; Utilization % in that formula excludes the changeover and downtime losses already deducted separately, not a combined figure that nets them out itself. Part C also states which of demand or rate each line's yield adjustment was applied to, so apply it the same way here and only once. A resource shared by more than one Routing ID gets a row for each — the aggregate table below sums those rows by resource, since it's the combined load across every routing that actually sizes the resource, not any single routing's demand alone.</w:t>
      </w:r>
    </w:p>
    <w:tbl>
      <w:tblPr>
        <w:tblW w:type="auto" w:w="0"/>
        <w:tblLayout w:type="fixed"/>
        <w:tblLook w:firstColumn="1" w:firstRow="1" w:lastColumn="0" w:lastRow="0" w:noHBand="0" w:noVBand="1" w:val="04A0"/>
      </w:tblPr>
      <w:tblGrid>
        <w:gridCol w:w="864"/>
        <w:gridCol w:w="1512"/>
        <w:gridCol w:w="936"/>
        <w:gridCol w:w="720"/>
        <w:gridCol w:w="864"/>
        <w:gridCol w:w="792"/>
        <w:gridCol w:w="1080"/>
        <w:gridCol w:w="1296"/>
        <w:gridCol w:w="1584"/>
      </w:tblGrid>
      <w:tr>
        <w:trPr>
          <w:cantSplit w:val="true"/>
          <w:tblHeader w:val="true"/>
        </w:trPr>
        <w:tc>
          <w:tcPr>
            <w:tcW w:type="dxa" w:w="864"/>
            <w:shd w:val="clear" w:color="auto" w:fill="1F2D3D"/>
            <w:tcBorders>
              <w:top w:sz="4" w:val="single" w:color="CCCCCC"/>
              <w:left w:sz="4" w:val="single" w:color="CCCCCC"/>
              <w:bottom w:sz="4" w:val="single" w:color="CCCCCC"/>
              <w:right w:sz="4" w:val="single" w:color="CCCCCC"/>
            </w:tcBorders>
          </w:tcPr>
          <w:p>
            <w:r>
              <w:rPr>
                <w:b/>
                <w:color w:val="FFFFFF"/>
                <w:sz w:val="17"/>
              </w:rPr>
              <w:t>Routing ID (ref. Form 05)</w:t>
            </w:r>
          </w:p>
        </w:tc>
        <w:tc>
          <w:tcPr>
            <w:tcW w:type="dxa" w:w="1512"/>
            <w:shd w:val="clear" w:color="auto" w:fill="1F2D3D"/>
            <w:tcBorders>
              <w:top w:sz="4" w:val="single" w:color="CCCCCC"/>
              <w:left w:sz="4" w:val="single" w:color="CCCCCC"/>
              <w:bottom w:sz="4" w:val="single" w:color="CCCCCC"/>
              <w:right w:sz="4" w:val="single" w:color="CCCCCC"/>
            </w:tcBorders>
          </w:tcPr>
          <w:p>
            <w:r>
              <w:rPr>
                <w:b/>
                <w:color w:val="FFFFFF"/>
                <w:sz w:val="17"/>
              </w:rPr>
              <w:t>Resource / Workstation</w:t>
            </w:r>
          </w:p>
        </w:tc>
        <w:tc>
          <w:tcPr>
            <w:tcW w:type="dxa" w:w="936"/>
            <w:shd w:val="clear" w:color="auto" w:fill="1F2D3D"/>
            <w:tcBorders>
              <w:top w:sz="4" w:val="single" w:color="CCCCCC"/>
              <w:left w:sz="4" w:val="single" w:color="CCCCCC"/>
              <w:bottom w:sz="4" w:val="single" w:color="CCCCCC"/>
              <w:right w:sz="4" w:val="single" w:color="CCCCCC"/>
            </w:tcBorders>
          </w:tcPr>
          <w:p>
            <w:r>
              <w:rPr>
                <w:b/>
                <w:color w:val="FFFFFF"/>
                <w:sz w:val="17"/>
              </w:rPr>
              <w:t>Demand (period)</w:t>
            </w:r>
          </w:p>
        </w:tc>
        <w:tc>
          <w:tcPr>
            <w:tcW w:type="dxa" w:w="720"/>
            <w:shd w:val="clear" w:color="auto" w:fill="1F2D3D"/>
            <w:tcBorders>
              <w:top w:sz="4" w:val="single" w:color="CCCCCC"/>
              <w:left w:sz="4" w:val="single" w:color="CCCCCC"/>
              <w:bottom w:sz="4" w:val="single" w:color="CCCCCC"/>
              <w:right w:sz="4" w:val="single" w:color="CCCCCC"/>
            </w:tcBorders>
          </w:tcPr>
          <w:p>
            <w:r>
              <w:rPr>
                <w:b/>
                <w:color w:val="FFFFFF"/>
                <w:sz w:val="17"/>
              </w:rPr>
              <w:t>Visits per Unit</w:t>
            </w:r>
          </w:p>
        </w:tc>
        <w:tc>
          <w:tcPr>
            <w:tcW w:type="dxa" w:w="864"/>
            <w:shd w:val="clear" w:color="auto" w:fill="1F2D3D"/>
            <w:tcBorders>
              <w:top w:sz="4" w:val="single" w:color="CCCCCC"/>
              <w:left w:sz="4" w:val="single" w:color="CCCCCC"/>
              <w:bottom w:sz="4" w:val="single" w:color="CCCCCC"/>
              <w:right w:sz="4" w:val="single" w:color="CCCCCC"/>
            </w:tcBorders>
          </w:tcPr>
          <w:p>
            <w:r>
              <w:rPr>
                <w:b/>
                <w:color w:val="FFFFFF"/>
                <w:sz w:val="17"/>
              </w:rPr>
              <w:t>Routing or Branch Share %</w:t>
            </w:r>
          </w:p>
        </w:tc>
        <w:tc>
          <w:tcPr>
            <w:tcW w:type="dxa" w:w="792"/>
            <w:shd w:val="clear" w:color="auto" w:fill="1F2D3D"/>
            <w:tcBorders>
              <w:top w:sz="4" w:val="single" w:color="CCCCCC"/>
              <w:left w:sz="4" w:val="single" w:color="CCCCCC"/>
              <w:bottom w:sz="4" w:val="single" w:color="CCCCCC"/>
              <w:right w:sz="4" w:val="single" w:color="CCCCCC"/>
            </w:tcBorders>
          </w:tcPr>
          <w:p>
            <w:r>
              <w:rPr>
                <w:b/>
                <w:color w:val="FFFFFF"/>
                <w:sz w:val="17"/>
              </w:rPr>
              <w:t>Time per Visit (hours)</w:t>
            </w:r>
          </w:p>
        </w:tc>
        <w:tc>
          <w:tcPr>
            <w:tcW w:type="dxa" w:w="1080"/>
            <w:shd w:val="clear" w:color="auto" w:fill="1F2D3D"/>
            <w:tcBorders>
              <w:top w:sz="4" w:val="single" w:color="CCCCCC"/>
              <w:left w:sz="4" w:val="single" w:color="CCCCCC"/>
              <w:bottom w:sz="4" w:val="single" w:color="CCCCCC"/>
              <w:right w:sz="4" w:val="single" w:color="CCCCCC"/>
            </w:tcBorders>
          </w:tcPr>
          <w:p>
            <w:r>
              <w:rPr>
                <w:b/>
                <w:color w:val="FFFFFF"/>
                <w:sz w:val="17"/>
              </w:rPr>
              <w:t>Required Load Hours (period)</w:t>
            </w:r>
          </w:p>
        </w:tc>
        <w:tc>
          <w:tcPr>
            <w:tcW w:type="dxa" w:w="1296"/>
            <w:shd w:val="clear" w:color="auto" w:fill="1F2D3D"/>
            <w:tcBorders>
              <w:top w:sz="4" w:val="single" w:color="CCCCCC"/>
              <w:left w:sz="4" w:val="single" w:color="CCCCCC"/>
              <w:bottom w:sz="4" w:val="single" w:color="CCCCCC"/>
              <w:right w:sz="4" w:val="single" w:color="CCCCCC"/>
            </w:tcBorders>
          </w:tcPr>
          <w:p>
            <w:r>
              <w:rPr>
                <w:b/>
                <w:color w:val="FFFFFF"/>
                <w:sz w:val="17"/>
              </w:rPr>
              <w:t>Effective Hours per Resource (period)</w:t>
            </w:r>
          </w:p>
        </w:tc>
        <w:tc>
          <w:tcPr>
            <w:tcW w:type="dxa" w:w="1584"/>
            <w:shd w:val="clear" w:color="auto" w:fill="1F2D3D"/>
            <w:tcBorders>
              <w:top w:sz="4" w:val="single" w:color="CCCCCC"/>
              <w:left w:sz="4" w:val="single" w:color="CCCCCC"/>
              <w:bottom w:sz="4" w:val="single" w:color="CCCCCC"/>
              <w:right w:sz="4" w:val="single" w:color="CCCCCC"/>
            </w:tcBorders>
          </w:tcPr>
          <w:p>
            <w:r>
              <w:rPr>
                <w:b/>
                <w:color w:val="FFFFFF"/>
                <w:sz w:val="17"/>
              </w:rPr>
              <w:t>Required Resource Count (calculated — may be fractional)</w:t>
            </w:r>
          </w:p>
        </w:tc>
      </w:tr>
      <w:tr>
        <w:trPr>
          <w:cantSplit w:val="true"/>
        </w:trPr>
        <w:tc>
          <w:tcPr>
            <w:tcW w:type="dxa" w:w="864"/>
            <w:tcBorders>
              <w:top w:sz="4" w:val="single" w:color="CCCCCC"/>
              <w:left w:sz="4" w:val="single" w:color="CCCCCC"/>
              <w:bottom w:sz="4" w:val="single" w:color="CCCCCC"/>
              <w:right w:sz="4" w:val="single" w:color="CCCCCC"/>
            </w:tcBorders>
          </w:tcPr>
          <w:p/>
        </w:tc>
        <w:tc>
          <w:tcPr>
            <w:tcW w:type="dxa" w:w="1512"/>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720"/>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792"/>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864"/>
            <w:tcBorders>
              <w:top w:sz="4" w:val="single" w:color="CCCCCC"/>
              <w:left w:sz="4" w:val="single" w:color="CCCCCC"/>
              <w:bottom w:sz="4" w:val="single" w:color="CCCCCC"/>
              <w:right w:sz="4" w:val="single" w:color="CCCCCC"/>
            </w:tcBorders>
          </w:tcPr>
          <w:p/>
        </w:tc>
        <w:tc>
          <w:tcPr>
            <w:tcW w:type="dxa" w:w="1512"/>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720"/>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792"/>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864"/>
            <w:tcBorders>
              <w:top w:sz="4" w:val="single" w:color="CCCCCC"/>
              <w:left w:sz="4" w:val="single" w:color="CCCCCC"/>
              <w:bottom w:sz="4" w:val="single" w:color="CCCCCC"/>
              <w:right w:sz="4" w:val="single" w:color="CCCCCC"/>
            </w:tcBorders>
          </w:tcPr>
          <w:p/>
        </w:tc>
        <w:tc>
          <w:tcPr>
            <w:tcW w:type="dxa" w:w="1512"/>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720"/>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792"/>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864"/>
            <w:tcBorders>
              <w:top w:sz="4" w:val="single" w:color="CCCCCC"/>
              <w:left w:sz="4" w:val="single" w:color="CCCCCC"/>
              <w:bottom w:sz="4" w:val="single" w:color="CCCCCC"/>
              <w:right w:sz="4" w:val="single" w:color="CCCCCC"/>
            </w:tcBorders>
          </w:tcPr>
          <w:p/>
        </w:tc>
        <w:tc>
          <w:tcPr>
            <w:tcW w:type="dxa" w:w="1512"/>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720"/>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792"/>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bl>
    <w:p>
      <w:pPr>
        <w:spacing w:after="160"/>
      </w:pPr>
      <w:r>
        <w:rPr>
          <w:b w:val="0"/>
          <w:i w:val="0"/>
          <w:sz w:val="18"/>
        </w:rPr>
        <w:t>Aggregated by resource — every Routing ID row above that shares the same resource, summed. This aggregate Required Resource Count is what Part F (Resulting Workstation/Equipment/Resource Counts) and Part E's per-scenario counts should carry forward, not a figure reassessed independently of this calculation. Like the per-routing figure above, this aggregate is a calculated, often-fractional number — Part F converts it into the actual whole-number count of equipment or workstations to install.</w:t>
      </w:r>
    </w:p>
    <w:tbl>
      <w:tblPr>
        <w:tblW w:type="auto" w:w="0"/>
        <w:tblLayout w:type="fixed"/>
        <w:tblLook w:firstColumn="1" w:firstRow="1" w:lastColumn="0" w:lastRow="0" w:noHBand="0" w:noVBand="1" w:val="04A0"/>
      </w:tblPr>
      <w:tblGrid>
        <w:gridCol w:w="2448"/>
        <w:gridCol w:w="2448"/>
        <w:gridCol w:w="2304"/>
        <w:gridCol w:w="2448"/>
      </w:tblGrid>
      <w:tr>
        <w:trPr>
          <w:cantSplit w:val="true"/>
          <w:tblHeader w:val="true"/>
        </w:trPr>
        <w:tc>
          <w:tcPr>
            <w:tcW w:type="dxa" w:w="2448"/>
            <w:shd w:val="clear" w:color="auto" w:fill="1F2D3D"/>
            <w:tcBorders>
              <w:top w:sz="4" w:val="single" w:color="CCCCCC"/>
              <w:left w:sz="4" w:val="single" w:color="CCCCCC"/>
              <w:bottom w:sz="4" w:val="single" w:color="CCCCCC"/>
              <w:right w:sz="4" w:val="single" w:color="CCCCCC"/>
            </w:tcBorders>
          </w:tcPr>
          <w:p>
            <w:r>
              <w:rPr>
                <w:b/>
                <w:color w:val="FFFFFF"/>
                <w:sz w:val="17"/>
              </w:rPr>
              <w:t>Resource / Workstation</w:t>
            </w:r>
          </w:p>
        </w:tc>
        <w:tc>
          <w:tcPr>
            <w:tcW w:type="dxa" w:w="2448"/>
            <w:shd w:val="clear" w:color="auto" w:fill="1F2D3D"/>
            <w:tcBorders>
              <w:top w:sz="4" w:val="single" w:color="CCCCCC"/>
              <w:left w:sz="4" w:val="single" w:color="CCCCCC"/>
              <w:bottom w:sz="4" w:val="single" w:color="CCCCCC"/>
              <w:right w:sz="4" w:val="single" w:color="CCCCCC"/>
            </w:tcBorders>
          </w:tcPr>
          <w:p>
            <w:r>
              <w:rPr>
                <w:b/>
                <w:color w:val="FFFFFF"/>
                <w:sz w:val="17"/>
              </w:rPr>
              <w:t>Total Required Load Hours (all routings, this scenario)</w:t>
            </w:r>
          </w:p>
        </w:tc>
        <w:tc>
          <w:tcPr>
            <w:tcW w:type="dxa" w:w="2304"/>
            <w:shd w:val="clear" w:color="auto" w:fill="1F2D3D"/>
            <w:tcBorders>
              <w:top w:sz="4" w:val="single" w:color="CCCCCC"/>
              <w:left w:sz="4" w:val="single" w:color="CCCCCC"/>
              <w:bottom w:sz="4" w:val="single" w:color="CCCCCC"/>
              <w:right w:sz="4" w:val="single" w:color="CCCCCC"/>
            </w:tcBorders>
          </w:tcPr>
          <w:p>
            <w:r>
              <w:rPr>
                <w:b/>
                <w:color w:val="FFFFFF"/>
                <w:sz w:val="17"/>
              </w:rPr>
              <w:t>Effective Hours per Resource (period)</w:t>
            </w:r>
          </w:p>
        </w:tc>
        <w:tc>
          <w:tcPr>
            <w:tcW w:type="dxa" w:w="2448"/>
            <w:shd w:val="clear" w:color="auto" w:fill="1F2D3D"/>
            <w:tcBorders>
              <w:top w:sz="4" w:val="single" w:color="CCCCCC"/>
              <w:left w:sz="4" w:val="single" w:color="CCCCCC"/>
              <w:bottom w:sz="4" w:val="single" w:color="CCCCCC"/>
              <w:right w:sz="4" w:val="single" w:color="CCCCCC"/>
            </w:tcBorders>
          </w:tcPr>
          <w:p>
            <w:r>
              <w:rPr>
                <w:b/>
                <w:color w:val="FFFFFF"/>
                <w:sz w:val="17"/>
              </w:rPr>
              <w:t>Required Resource Count (aggregate — calculated, may be fractional)</w:t>
            </w:r>
          </w:p>
        </w:tc>
      </w:tr>
      <w:tr>
        <w:trPr>
          <w:cantSplit w:val="true"/>
        </w:trPr>
        <w:tc>
          <w:tcPr>
            <w:tcW w:type="dxa" w:w="2448"/>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r>
        <w:trPr>
          <w:cantSplit w:val="true"/>
        </w:trPr>
        <w:tc>
          <w:tcPr>
            <w:tcW w:type="dxa" w:w="2448"/>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r>
        <w:trPr>
          <w:cantSplit w:val="true"/>
        </w:trPr>
        <w:tc>
          <w:tcPr>
            <w:tcW w:type="dxa" w:w="2448"/>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bl>
    <w:p>
      <w:pPr>
        <w:spacing w:before="280" w:after="120"/>
        <w:pBdr>
          <w:bottom w:val="single" w:sz="6" w:space="2" w:color="B8862E"/>
        </w:pBdr>
      </w:pPr>
      <w:r>
        <w:rPr>
          <w:b/>
          <w:color w:val="1F2D3D"/>
          <w:sz w:val="26"/>
        </w:rPr>
        <w:t>Part C — Capacity, Utilization &amp; Loss Factors</w:t>
      </w:r>
    </w:p>
    <w:p>
      <w:pPr>
        <w:spacing w:after="160"/>
      </w:pPr>
      <w:r>
        <w:rPr>
          <w:b w:val="0"/>
          <w:i w:val="0"/>
          <w:sz w:val="18"/>
        </w:rPr>
        <w:t>Utilization % here means productive time as a share of Scheduled Hours, excluding the changeover and unplanned-downtime losses that Part B's formula already deducts separately — it is not a combined, OEE-style figure that nets those out itself. If a source number does net them out, back those components out before entering it here; entering it as-is alongside separate Changeover and Unplanned Downtime fields double-counts the same loss. Changeovers per Period and Time per Changeover are entered separately and multiplied in Part B's calculation (Total Changeover/Setup Time per Period = Changeovers per Period x Time per Changeover); a single "time per changeover" number can't be deducted from capacity on its own without knowing how often a changeover actually happens. Yield Applied To records which method was used, Adjusted Demand or Adjusted Rate, so the application is auditable rather than resting on narrative instructions alone — Part B applies it the same way, once.</w:t>
      </w:r>
    </w:p>
    <w:tbl>
      <w:tblPr>
        <w:tblW w:type="auto" w:w="0"/>
        <w:tblLayout w:type="fixed"/>
        <w:tblLook w:firstColumn="1" w:firstRow="1" w:lastColumn="0" w:lastRow="0" w:noHBand="0" w:noVBand="1" w:val="04A0"/>
      </w:tblPr>
      <w:tblGrid>
        <w:gridCol w:w="1440"/>
        <w:gridCol w:w="1296"/>
        <w:gridCol w:w="1368"/>
        <w:gridCol w:w="864"/>
        <w:gridCol w:w="1008"/>
        <w:gridCol w:w="1368"/>
        <w:gridCol w:w="1152"/>
        <w:gridCol w:w="1152"/>
      </w:tblGrid>
      <w:tr>
        <w:trPr>
          <w:cantSplit w:val="true"/>
          <w:tblHeader w:val="true"/>
        </w:trPr>
        <w:tc>
          <w:tcPr>
            <w:tcW w:type="dxa" w:w="1440"/>
            <w:shd w:val="clear" w:color="auto" w:fill="1F2D3D"/>
            <w:tcBorders>
              <w:top w:sz="4" w:val="single" w:color="CCCCCC"/>
              <w:left w:sz="4" w:val="single" w:color="CCCCCC"/>
              <w:bottom w:sz="4" w:val="single" w:color="CCCCCC"/>
              <w:right w:sz="4" w:val="single" w:color="CCCCCC"/>
            </w:tcBorders>
          </w:tcPr>
          <w:p>
            <w:r>
              <w:rPr>
                <w:b/>
                <w:color w:val="FFFFFF"/>
                <w:sz w:val="17"/>
              </w:rPr>
              <w:t>Process / Product / Service Line</w:t>
            </w:r>
          </w:p>
        </w:tc>
        <w:tc>
          <w:tcPr>
            <w:tcW w:type="dxa" w:w="1296"/>
            <w:shd w:val="clear" w:color="auto" w:fill="1F2D3D"/>
            <w:tcBorders>
              <w:top w:sz="4" w:val="single" w:color="CCCCCC"/>
              <w:left w:sz="4" w:val="single" w:color="CCCCCC"/>
              <w:bottom w:sz="4" w:val="single" w:color="CCCCCC"/>
              <w:right w:sz="4" w:val="single" w:color="CCCCCC"/>
            </w:tcBorders>
          </w:tcPr>
          <w:p>
            <w:r>
              <w:rPr>
                <w:b/>
                <w:color w:val="FFFFFF"/>
                <w:sz w:val="17"/>
              </w:rPr>
              <w:t>Shifts / Hours of Operation</w:t>
            </w:r>
          </w:p>
        </w:tc>
        <w:tc>
          <w:tcPr>
            <w:tcW w:type="dxa" w:w="1368"/>
            <w:shd w:val="clear" w:color="auto" w:fill="1F2D3D"/>
            <w:tcBorders>
              <w:top w:sz="4" w:val="single" w:color="CCCCCC"/>
              <w:left w:sz="4" w:val="single" w:color="CCCCCC"/>
              <w:bottom w:sz="4" w:val="single" w:color="CCCCCC"/>
              <w:right w:sz="4" w:val="single" w:color="CCCCCC"/>
            </w:tcBorders>
          </w:tcPr>
          <w:p>
            <w:r>
              <w:rPr>
                <w:b/>
                <w:color w:val="FFFFFF"/>
                <w:sz w:val="17"/>
              </w:rPr>
              <w:t>Utilization %</w:t>
            </w:r>
          </w:p>
        </w:tc>
        <w:tc>
          <w:tcPr>
            <w:tcW w:type="dxa" w:w="864"/>
            <w:shd w:val="clear" w:color="auto" w:fill="1F2D3D"/>
            <w:tcBorders>
              <w:top w:sz="4" w:val="single" w:color="CCCCCC"/>
              <w:left w:sz="4" w:val="single" w:color="CCCCCC"/>
              <w:bottom w:sz="4" w:val="single" w:color="CCCCCC"/>
              <w:right w:sz="4" w:val="single" w:color="CCCCCC"/>
            </w:tcBorders>
          </w:tcPr>
          <w:p>
            <w:r>
              <w:rPr>
                <w:b/>
                <w:color w:val="FFFFFF"/>
                <w:sz w:val="17"/>
              </w:rPr>
              <w:t>Yield / Scrap or Loss %</w:t>
            </w:r>
          </w:p>
        </w:tc>
        <w:tc>
          <w:tcPr>
            <w:tcW w:type="dxa" w:w="1008"/>
            <w:shd w:val="clear" w:color="auto" w:fill="1F2D3D"/>
            <w:tcBorders>
              <w:top w:sz="4" w:val="single" w:color="CCCCCC"/>
              <w:left w:sz="4" w:val="single" w:color="CCCCCC"/>
              <w:bottom w:sz="4" w:val="single" w:color="CCCCCC"/>
              <w:right w:sz="4" w:val="single" w:color="CCCCCC"/>
            </w:tcBorders>
          </w:tcPr>
          <w:p>
            <w:r>
              <w:rPr>
                <w:b/>
                <w:color w:val="FFFFFF"/>
                <w:sz w:val="17"/>
              </w:rPr>
              <w:t>Yield Applied To (Adjusted Demand / Adjusted Rate)</w:t>
            </w:r>
          </w:p>
        </w:tc>
        <w:tc>
          <w:tcPr>
            <w:tcW w:type="dxa" w:w="1368"/>
            <w:shd w:val="clear" w:color="auto" w:fill="1F2D3D"/>
            <w:tcBorders>
              <w:top w:sz="4" w:val="single" w:color="CCCCCC"/>
              <w:left w:sz="4" w:val="single" w:color="CCCCCC"/>
              <w:bottom w:sz="4" w:val="single" w:color="CCCCCC"/>
              <w:right w:sz="4" w:val="single" w:color="CCCCCC"/>
            </w:tcBorders>
          </w:tcPr>
          <w:p>
            <w:r>
              <w:rPr>
                <w:b/>
                <w:color w:val="FFFFFF"/>
                <w:sz w:val="17"/>
              </w:rPr>
              <w:t>Changeovers per Period</w:t>
            </w:r>
          </w:p>
        </w:tc>
        <w:tc>
          <w:tcPr>
            <w:tcW w:type="dxa" w:w="1152"/>
            <w:shd w:val="clear" w:color="auto" w:fill="1F2D3D"/>
            <w:tcBorders>
              <w:top w:sz="4" w:val="single" w:color="CCCCCC"/>
              <w:left w:sz="4" w:val="single" w:color="CCCCCC"/>
              <w:bottom w:sz="4" w:val="single" w:color="CCCCCC"/>
              <w:right w:sz="4" w:val="single" w:color="CCCCCC"/>
            </w:tcBorders>
          </w:tcPr>
          <w:p>
            <w:r>
              <w:rPr>
                <w:b/>
                <w:color w:val="FFFFFF"/>
                <w:sz w:val="17"/>
              </w:rPr>
              <w:t>Time per Changeover (hours)</w:t>
            </w:r>
          </w:p>
        </w:tc>
        <w:tc>
          <w:tcPr>
            <w:tcW w:type="dxa" w:w="1152"/>
            <w:shd w:val="clear" w:color="auto" w:fill="1F2D3D"/>
            <w:tcBorders>
              <w:top w:sz="4" w:val="single" w:color="CCCCCC"/>
              <w:left w:sz="4" w:val="single" w:color="CCCCCC"/>
              <w:bottom w:sz="4" w:val="single" w:color="CCCCCC"/>
              <w:right w:sz="4" w:val="single" w:color="CCCCCC"/>
            </w:tcBorders>
          </w:tcPr>
          <w:p>
            <w:r>
              <w:rPr>
                <w:b/>
                <w:color w:val="FFFFFF"/>
                <w:sz w:val="17"/>
              </w:rPr>
              <w:t>Unplanned Downtime %</w:t>
            </w:r>
          </w:p>
        </w:tc>
      </w:tr>
      <w:tr>
        <w:trPr>
          <w:cantSplit w:val="true"/>
        </w:trPr>
        <w:tc>
          <w:tcPr>
            <w:tcW w:type="dxa" w:w="1440"/>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008"/>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r>
      <w:tr>
        <w:trPr>
          <w:cantSplit w:val="true"/>
        </w:trPr>
        <w:tc>
          <w:tcPr>
            <w:tcW w:type="dxa" w:w="1440"/>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008"/>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r>
      <w:tr>
        <w:trPr>
          <w:cantSplit w:val="true"/>
        </w:trPr>
        <w:tc>
          <w:tcPr>
            <w:tcW w:type="dxa" w:w="1440"/>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008"/>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r>
      <w:tr>
        <w:trPr>
          <w:cantSplit w:val="true"/>
        </w:trPr>
        <w:tc>
          <w:tcPr>
            <w:tcW w:type="dxa" w:w="1440"/>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008"/>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r>
      <w:tr>
        <w:trPr>
          <w:cantSplit w:val="true"/>
        </w:trPr>
        <w:tc>
          <w:tcPr>
            <w:tcW w:type="dxa" w:w="1440"/>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864"/>
            <w:tcBorders>
              <w:top w:sz="4" w:val="single" w:color="CCCCCC"/>
              <w:left w:sz="4" w:val="single" w:color="CCCCCC"/>
              <w:bottom w:sz="4" w:val="single" w:color="CCCCCC"/>
              <w:right w:sz="4" w:val="single" w:color="CCCCCC"/>
            </w:tcBorders>
          </w:tcPr>
          <w:p/>
        </w:tc>
        <w:tc>
          <w:tcPr>
            <w:tcW w:type="dxa" w:w="1008"/>
            <w:tcBorders>
              <w:top w:sz="4" w:val="single" w:color="CCCCCC"/>
              <w:left w:sz="4" w:val="single" w:color="CCCCCC"/>
              <w:bottom w:sz="4" w:val="single" w:color="CCCCCC"/>
              <w:right w:sz="4" w:val="single" w:color="CCCCCC"/>
            </w:tcBorders>
          </w:tcPr>
          <w:p/>
        </w:tc>
        <w:tc>
          <w:tcPr>
            <w:tcW w:type="dxa" w:w="1368"/>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r>
    </w:tbl>
    <w:p>
      <w:pPr>
        <w:spacing w:before="280" w:after="120"/>
        <w:pBdr>
          <w:bottom w:val="single" w:sz="6" w:space="2" w:color="B8862E"/>
        </w:pBdr>
      </w:pPr>
      <w:r>
        <w:rPr>
          <w:b/>
          <w:color w:val="1F2D3D"/>
          <w:sz w:val="26"/>
        </w:rPr>
        <w:t>Part D — Required vs. Demonstrated Throughput</w:t>
      </w:r>
    </w:p>
    <w:p>
      <w:pPr>
        <w:spacing w:after="160"/>
      </w:pPr>
      <w:r>
        <w:rPr>
          <w:b w:val="0"/>
          <w:i w:val="0"/>
          <w:sz w:val="18"/>
        </w:rPr>
        <w:t>Required Throughput comes from Part A's demand and service requirements, adjusted consistently for yield — not from dividing demand by effective rate, which produces a required resource quantity or operating time (already calculated in Part B above), not a throughput figure. Demand divided by rate and a units-per-period capacity figure are not automatically the same unit of measure, and comparing them as if they were is exactly the kind of mismatch this part exists to prevent. Compare Required Throughput against Demonstrated or Supportable Throughput using the same units and the same period as each other. Throughput Gap = Required Throughput minus Demonstrated or Supportable Throughput; a positive value is a shortfall, a negative value is spare capacity. Use Part B, not a separate calculation here, to translate any throughput shortfall into the required number of resources.</w:t>
      </w:r>
    </w:p>
    <w:tbl>
      <w:tblPr>
        <w:tblW w:type="auto" w:w="0"/>
        <w:tblLayout w:type="fixed"/>
        <w:tblLook w:firstColumn="1" w:firstRow="1" w:lastColumn="0" w:lastRow="0" w:noHBand="0" w:noVBand="1" w:val="04A0"/>
      </w:tblPr>
      <w:tblGrid>
        <w:gridCol w:w="1872"/>
        <w:gridCol w:w="1872"/>
        <w:gridCol w:w="2160"/>
        <w:gridCol w:w="1728"/>
        <w:gridCol w:w="2016"/>
      </w:tblGrid>
      <w:tr>
        <w:trPr>
          <w:cantSplit w:val="true"/>
          <w:tblHeader w:val="true"/>
        </w:trPr>
        <w:tc>
          <w:tcPr>
            <w:tcW w:type="dxa" w:w="1872"/>
            <w:shd w:val="clear" w:color="auto" w:fill="1F2D3D"/>
            <w:tcBorders>
              <w:top w:sz="4" w:val="single" w:color="CCCCCC"/>
              <w:left w:sz="4" w:val="single" w:color="CCCCCC"/>
              <w:bottom w:sz="4" w:val="single" w:color="CCCCCC"/>
              <w:right w:sz="4" w:val="single" w:color="CCCCCC"/>
            </w:tcBorders>
          </w:tcPr>
          <w:p>
            <w:r>
              <w:rPr>
                <w:b/>
                <w:color w:val="FFFFFF"/>
                <w:sz w:val="17"/>
              </w:rPr>
              <w:t>Process or Service Line</w:t>
            </w:r>
          </w:p>
        </w:tc>
        <w:tc>
          <w:tcPr>
            <w:tcW w:type="dxa" w:w="1872"/>
            <w:shd w:val="clear" w:color="auto" w:fill="1F2D3D"/>
            <w:tcBorders>
              <w:top w:sz="4" w:val="single" w:color="CCCCCC"/>
              <w:left w:sz="4" w:val="single" w:color="CCCCCC"/>
              <w:bottom w:sz="4" w:val="single" w:color="CCCCCC"/>
              <w:right w:sz="4" w:val="single" w:color="CCCCCC"/>
            </w:tcBorders>
          </w:tcPr>
          <w:p>
            <w:r>
              <w:rPr>
                <w:b/>
                <w:color w:val="FFFFFF"/>
                <w:sz w:val="17"/>
              </w:rPr>
              <w:t>Required Throughput</w:t>
            </w:r>
          </w:p>
        </w:tc>
        <w:tc>
          <w:tcPr>
            <w:tcW w:type="dxa" w:w="2160"/>
            <w:shd w:val="clear" w:color="auto" w:fill="1F2D3D"/>
            <w:tcBorders>
              <w:top w:sz="4" w:val="single" w:color="CCCCCC"/>
              <w:left w:sz="4" w:val="single" w:color="CCCCCC"/>
              <w:bottom w:sz="4" w:val="single" w:color="CCCCCC"/>
              <w:right w:sz="4" w:val="single" w:color="CCCCCC"/>
            </w:tcBorders>
          </w:tcPr>
          <w:p>
            <w:r>
              <w:rPr>
                <w:b/>
                <w:color w:val="FFFFFF"/>
                <w:sz w:val="17"/>
              </w:rPr>
              <w:t>Demonstrated or Supportable Throughput</w:t>
            </w:r>
          </w:p>
        </w:tc>
        <w:tc>
          <w:tcPr>
            <w:tcW w:type="dxa" w:w="1728"/>
            <w:shd w:val="clear" w:color="auto" w:fill="1F2D3D"/>
            <w:tcBorders>
              <w:top w:sz="4" w:val="single" w:color="CCCCCC"/>
              <w:left w:sz="4" w:val="single" w:color="CCCCCC"/>
              <w:bottom w:sz="4" w:val="single" w:color="CCCCCC"/>
              <w:right w:sz="4" w:val="single" w:color="CCCCCC"/>
            </w:tcBorders>
          </w:tcPr>
          <w:p>
            <w:r>
              <w:rPr>
                <w:b/>
                <w:color w:val="FFFFFF"/>
                <w:sz w:val="17"/>
              </w:rPr>
              <w:t>Throughput Gap</w:t>
            </w:r>
          </w:p>
        </w:tc>
        <w:tc>
          <w:tcPr>
            <w:tcW w:type="dxa" w:w="2016"/>
            <w:shd w:val="clear" w:color="auto" w:fill="1F2D3D"/>
            <w:tcBorders>
              <w:top w:sz="4" w:val="single" w:color="CCCCCC"/>
              <w:left w:sz="4" w:val="single" w:color="CCCCCC"/>
              <w:bottom w:sz="4" w:val="single" w:color="CCCCCC"/>
              <w:right w:sz="4" w:val="single" w:color="CCCCCC"/>
            </w:tcBorders>
          </w:tcPr>
          <w:p>
            <w:r>
              <w:rPr>
                <w:b/>
                <w:color w:val="FFFFFF"/>
                <w:sz w:val="17"/>
              </w:rPr>
              <w:t>Constraint or Bottleneck</w:t>
            </w:r>
          </w:p>
        </w:tc>
      </w:tr>
      <w:tr>
        <w:trPr>
          <w:cantSplit w:val="true"/>
        </w:trPr>
        <w:tc>
          <w:tcPr>
            <w:tcW w:type="dxa" w:w="1872"/>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r>
      <w:tr>
        <w:trPr>
          <w:cantSplit w:val="true"/>
        </w:trPr>
        <w:tc>
          <w:tcPr>
            <w:tcW w:type="dxa" w:w="1872"/>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r>
      <w:tr>
        <w:trPr>
          <w:cantSplit w:val="true"/>
        </w:trPr>
        <w:tc>
          <w:tcPr>
            <w:tcW w:type="dxa" w:w="1872"/>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r>
      <w:tr>
        <w:trPr>
          <w:cantSplit w:val="true"/>
        </w:trPr>
        <w:tc>
          <w:tcPr>
            <w:tcW w:type="dxa" w:w="1872"/>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r>
      <w:tr>
        <w:trPr>
          <w:cantSplit w:val="true"/>
        </w:trPr>
        <w:tc>
          <w:tcPr>
            <w:tcW w:type="dxa" w:w="1872"/>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1728"/>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r>
    </w:tbl>
    <w:p>
      <w:pPr>
        <w:spacing w:before="280" w:after="120"/>
        <w:pBdr>
          <w:bottom w:val="single" w:sz="6" w:space="2" w:color="B8862E"/>
        </w:pBdr>
      </w:pPr>
      <w:r>
        <w:rPr>
          <w:b/>
          <w:color w:val="1F2D3D"/>
          <w:sz w:val="26"/>
        </w:rPr>
        <w:t>Part E — Demand Variability &amp; Scenario Testing</w:t>
      </w:r>
    </w:p>
    <w:p>
      <w:pPr>
        <w:spacing w:after="160"/>
      </w:pPr>
      <w:r>
        <w:rPr>
          <w:b w:val="0"/>
          <w:i w:val="0"/>
          <w:sz w:val="18"/>
        </w:rPr>
        <w:t>Test the model against more than today's average day — a model that only works at expected demand isn't done. The four scenarios below are defined by Form 05's two fields together, not either field alone — every Form 05 row belongs to exactly one scenario, never more than one: Expected = Planning Horizon Current + Demand Condition Expected. Peak = Planning Horizon Current + Demand Condition Peak. Future Growth = Planning Horizon Future + Demand Condition Expected. Future-Peak = Planning Horizon Future + Demand Condition Peak. Run each scenario's rows through the same Part B calculation above to get that scenario's Required Resource Count, rather than scaling the Expected number by feel. State the assumptions behind each scenario.</w:t>
      </w:r>
    </w:p>
    <w:tbl>
      <w:tblPr>
        <w:tblW w:type="auto" w:w="0"/>
        <w:tblLook w:firstColumn="1" w:firstRow="1" w:lastColumn="0" w:lastRow="0" w:noHBand="0" w:noVBand="1" w:val="04A0"/>
      </w:tblPr>
      <w:tblGrid>
        <w:gridCol w:w="2592"/>
        <w:gridCol w:w="1872"/>
        <w:gridCol w:w="2016"/>
        <w:gridCol w:w="3168"/>
      </w:tblGrid>
      <w:tr>
        <w:tc>
          <w:tcPr>
            <w:tcW w:type="dxa" w:w="2412"/>
            <w:shd w:val="clear" w:color="auto" w:fill="1F2D3D"/>
          </w:tcPr>
          <w:p>
            <w:r>
              <w:rPr>
                <w:b/>
                <w:color w:val="FFFFFF"/>
                <w:sz w:val="18"/>
              </w:rPr>
              <w:t>Scenario</w:t>
            </w:r>
          </w:p>
        </w:tc>
        <w:tc>
          <w:tcPr>
            <w:tcW w:type="dxa" w:w="2412"/>
            <w:shd w:val="clear" w:color="auto" w:fill="1F2D3D"/>
          </w:tcPr>
          <w:p>
            <w:r>
              <w:rPr>
                <w:b/>
                <w:color w:val="FFFFFF"/>
                <w:sz w:val="18"/>
              </w:rPr>
              <w:t>Demand Level</w:t>
            </w:r>
          </w:p>
        </w:tc>
        <w:tc>
          <w:tcPr>
            <w:tcW w:type="dxa" w:w="2412"/>
            <w:shd w:val="clear" w:color="auto" w:fill="1F2D3D"/>
          </w:tcPr>
          <w:p>
            <w:r>
              <w:rPr>
                <w:b/>
                <w:color w:val="FFFFFF"/>
                <w:sz w:val="18"/>
              </w:rPr>
              <w:t>Required Resource Count</w:t>
            </w:r>
          </w:p>
        </w:tc>
        <w:tc>
          <w:tcPr>
            <w:tcW w:type="dxa" w:w="2412"/>
            <w:shd w:val="clear" w:color="auto" w:fill="1F2D3D"/>
          </w:tcPr>
          <w:p>
            <w:r>
              <w:rPr>
                <w:b/>
                <w:color w:val="FFFFFF"/>
                <w:sz w:val="18"/>
              </w:rPr>
              <w:t>Key Assumptions</w:t>
            </w:r>
          </w:p>
        </w:tc>
      </w:tr>
      <w:tr>
        <w:tc>
          <w:tcPr>
            <w:tcW w:type="dxa" w:w="2592"/>
            <w:tcBorders>
              <w:top w:sz="4" w:val="single" w:color="CCCCCC"/>
              <w:left w:sz="4" w:val="single" w:color="CCCCCC"/>
              <w:bottom w:sz="4" w:val="single" w:color="CCCCCC"/>
              <w:right w:sz="4" w:val="single" w:color="CCCCCC"/>
            </w:tcBorders>
          </w:tcPr>
          <w:p>
            <w:r>
              <w:rPr>
                <w:sz w:val="18"/>
              </w:rPr>
              <w:t>Expected</w:t>
            </w:r>
          </w:p>
        </w:tc>
        <w:tc>
          <w:tcPr>
            <w:tcW w:type="dxa" w:w="1872"/>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c>
          <w:tcPr>
            <w:tcW w:type="dxa" w:w="3168"/>
            <w:tcBorders>
              <w:top w:sz="4" w:val="single" w:color="CCCCCC"/>
              <w:left w:sz="4" w:val="single" w:color="CCCCCC"/>
              <w:bottom w:sz="4" w:val="single" w:color="CCCCCC"/>
              <w:right w:sz="4" w:val="single" w:color="CCCCCC"/>
            </w:tcBorders>
          </w:tcPr>
          <w:p/>
        </w:tc>
      </w:tr>
      <w:tr>
        <w:tc>
          <w:tcPr>
            <w:tcW w:type="dxa" w:w="2592"/>
            <w:tcBorders>
              <w:top w:sz="4" w:val="single" w:color="CCCCCC"/>
              <w:left w:sz="4" w:val="single" w:color="CCCCCC"/>
              <w:bottom w:sz="4" w:val="single" w:color="CCCCCC"/>
              <w:right w:sz="4" w:val="single" w:color="CCCCCC"/>
            </w:tcBorders>
          </w:tcPr>
          <w:p>
            <w:r>
              <w:rPr>
                <w:sz w:val="18"/>
              </w:rPr>
              <w:t>Peak</w:t>
            </w:r>
          </w:p>
        </w:tc>
        <w:tc>
          <w:tcPr>
            <w:tcW w:type="dxa" w:w="1872"/>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c>
          <w:tcPr>
            <w:tcW w:type="dxa" w:w="3168"/>
            <w:tcBorders>
              <w:top w:sz="4" w:val="single" w:color="CCCCCC"/>
              <w:left w:sz="4" w:val="single" w:color="CCCCCC"/>
              <w:bottom w:sz="4" w:val="single" w:color="CCCCCC"/>
              <w:right w:sz="4" w:val="single" w:color="CCCCCC"/>
            </w:tcBorders>
          </w:tcPr>
          <w:p/>
        </w:tc>
      </w:tr>
      <w:tr>
        <w:tc>
          <w:tcPr>
            <w:tcW w:type="dxa" w:w="2592"/>
            <w:tcBorders>
              <w:top w:sz="4" w:val="single" w:color="CCCCCC"/>
              <w:left w:sz="4" w:val="single" w:color="CCCCCC"/>
              <w:bottom w:sz="4" w:val="single" w:color="CCCCCC"/>
              <w:right w:sz="4" w:val="single" w:color="CCCCCC"/>
            </w:tcBorders>
          </w:tcPr>
          <w:p>
            <w:r>
              <w:rPr>
                <w:sz w:val="18"/>
              </w:rPr>
              <w:t>Future Growth — Year ___</w:t>
            </w:r>
          </w:p>
        </w:tc>
        <w:tc>
          <w:tcPr>
            <w:tcW w:type="dxa" w:w="1872"/>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c>
          <w:tcPr>
            <w:tcW w:type="dxa" w:w="3168"/>
            <w:tcBorders>
              <w:top w:sz="4" w:val="single" w:color="CCCCCC"/>
              <w:left w:sz="4" w:val="single" w:color="CCCCCC"/>
              <w:bottom w:sz="4" w:val="single" w:color="CCCCCC"/>
              <w:right w:sz="4" w:val="single" w:color="CCCCCC"/>
            </w:tcBorders>
          </w:tcPr>
          <w:p/>
        </w:tc>
      </w:tr>
      <w:tr>
        <w:tc>
          <w:tcPr>
            <w:tcW w:type="dxa" w:w="2592"/>
            <w:tcBorders>
              <w:top w:sz="4" w:val="single" w:color="CCCCCC"/>
              <w:left w:sz="4" w:val="single" w:color="CCCCCC"/>
              <w:bottom w:sz="4" w:val="single" w:color="CCCCCC"/>
              <w:right w:sz="4" w:val="single" w:color="CCCCCC"/>
            </w:tcBorders>
          </w:tcPr>
          <w:p>
            <w:r>
              <w:rPr>
                <w:sz w:val="18"/>
              </w:rPr>
              <w:t>Future-Peak — Year ___ (if applicable)</w:t>
            </w:r>
          </w:p>
        </w:tc>
        <w:tc>
          <w:tcPr>
            <w:tcW w:type="dxa" w:w="1872"/>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c>
          <w:tcPr>
            <w:tcW w:type="dxa" w:w="3168"/>
            <w:tcBorders>
              <w:top w:sz="4" w:val="single" w:color="CCCCCC"/>
              <w:left w:sz="4" w:val="single" w:color="CCCCCC"/>
              <w:bottom w:sz="4" w:val="single" w:color="CCCCCC"/>
              <w:right w:sz="4" w:val="single" w:color="CCCCCC"/>
            </w:tcBorders>
          </w:tcPr>
          <w:p/>
        </w:tc>
      </w:tr>
    </w:tbl>
    <w:p>
      <w:pPr>
        <w:spacing w:after="80"/>
      </w:pPr>
    </w:p>
    <w:p>
      <w:pPr>
        <w:spacing w:before="280" w:after="120"/>
        <w:pBdr>
          <w:bottom w:val="single" w:sz="6" w:space="2" w:color="B8862E"/>
        </w:pBdr>
      </w:pPr>
      <w:r>
        <w:rPr>
          <w:b/>
          <w:color w:val="1F2D3D"/>
          <w:sz w:val="26"/>
        </w:rPr>
        <w:t>Part F — Resulting Workstation / Equipment / Resource Counts</w:t>
      </w:r>
    </w:p>
    <w:p>
      <w:pPr>
        <w:spacing w:after="160"/>
      </w:pPr>
      <w:r>
        <w:rPr>
          <w:b w:val="0"/>
          <w:i w:val="0"/>
          <w:sz w:val="18"/>
        </w:rPr>
        <w:t>Required — Expected carries forward Part B's Expected-scenario aggregate Required Resource Count, rounded up to the next whole number here, the same as Governing Required Count below — not a separate, independently asserted figure, and not left fractional despite the calculated Part B number it's drawn from. Selected Design Scenario states which of Part E's four scenarios (Expected, Peak, Future Growth, Future-Peak) the project is actually designing and building to — a deliberate, documented choice, not automatically whichever is largest. Governing Required Count carries forward that selected scenario's Part B aggregate, rounded up to the next whole number — physical equipment, workstations, and bays are installed as whole units, and rounding down understates the resource count this form exists to establish. Don't use rounding to absorb a capacity gap: if the fractional remainder is genuinely covered by substitution, overtime, outsourcing, or a documented service-level exception rather than an added whole unit, state that explicitly in Notes rather than rounding the Governing count itself down to make it disappear.</w:t>
      </w:r>
    </w:p>
    <w:p>
      <w:pPr>
        <w:spacing w:after="160"/>
      </w:pPr>
      <w:r>
        <w:rPr>
          <w:b w:val="0"/>
          <w:i w:val="0"/>
          <w:sz w:val="18"/>
        </w:rPr>
        <w:t>Additional Redundancy or Surge Units records only standby or backup capacity held in reserve beyond the demand already reflected in the Selected Design Scenario — not a second allowance for the same peak or future-growth demand the Governing Required Count already sizes for. If the Peak or Future-Peak scenario is what's selected, its demand is already in Governing Required Count; don't add surge units here to cover that same demand a second time. Enter zero if no standby or backup capacity applies, not blank, so it's clear redundancy was considered rather than skipped. Total Required Installed = Governing Required Count + Additional Redundancy or Surge Units — the actual whole-unit count the project needs in place, redundancy included; this, not Governing Required Count alone, is what Existing Usable and Net New are sized against, so the installed-equipment decision accounts for redundancy explicitly rather than leaving it ambiguous. Existing Usable is what's already in place and fit for this use today. Net New = Total Required Installed minus Existing Usable, but not less than zero — an existing surplus doesn't produce a negative requirement.</w:t>
      </w:r>
    </w:p>
    <w:tbl>
      <w:tblPr>
        <w:tblW w:type="auto" w:w="0"/>
        <w:tblLayout w:type="fixed"/>
        <w:tblLook w:firstColumn="1" w:firstRow="1" w:lastColumn="0" w:lastRow="0" w:noHBand="0" w:noVBand="1" w:val="04A0"/>
      </w:tblPr>
      <w:tblGrid>
        <w:gridCol w:w="1944"/>
        <w:gridCol w:w="936"/>
        <w:gridCol w:w="1008"/>
        <w:gridCol w:w="1080"/>
        <w:gridCol w:w="1224"/>
        <w:gridCol w:w="1080"/>
        <w:gridCol w:w="936"/>
        <w:gridCol w:w="648"/>
        <w:gridCol w:w="792"/>
      </w:tblGrid>
      <w:tr>
        <w:trPr>
          <w:cantSplit w:val="true"/>
          <w:tblHeader w:val="true"/>
        </w:trPr>
        <w:tc>
          <w:tcPr>
            <w:tcW w:type="dxa" w:w="1944"/>
            <w:shd w:val="clear" w:color="auto" w:fill="1F2D3D"/>
            <w:tcBorders>
              <w:top w:sz="4" w:val="single" w:color="CCCCCC"/>
              <w:left w:sz="4" w:val="single" w:color="CCCCCC"/>
              <w:bottom w:sz="4" w:val="single" w:color="CCCCCC"/>
              <w:right w:sz="4" w:val="single" w:color="CCCCCC"/>
            </w:tcBorders>
          </w:tcPr>
          <w:p>
            <w:r>
              <w:rPr>
                <w:b/>
                <w:color w:val="FFFFFF"/>
                <w:sz w:val="17"/>
              </w:rPr>
              <w:t>Resource / Equipment / Workstation Type</w:t>
            </w:r>
          </w:p>
        </w:tc>
        <w:tc>
          <w:tcPr>
            <w:tcW w:type="dxa" w:w="936"/>
            <w:shd w:val="clear" w:color="auto" w:fill="1F2D3D"/>
            <w:tcBorders>
              <w:top w:sz="4" w:val="single" w:color="CCCCCC"/>
              <w:left w:sz="4" w:val="single" w:color="CCCCCC"/>
              <w:bottom w:sz="4" w:val="single" w:color="CCCCCC"/>
              <w:right w:sz="4" w:val="single" w:color="CCCCCC"/>
            </w:tcBorders>
          </w:tcPr>
          <w:p>
            <w:r>
              <w:rPr>
                <w:b/>
                <w:color w:val="FFFFFF"/>
                <w:sz w:val="17"/>
              </w:rPr>
              <w:t>Required — Expected (whole units)</w:t>
            </w:r>
          </w:p>
        </w:tc>
        <w:tc>
          <w:tcPr>
            <w:tcW w:type="dxa" w:w="1008"/>
            <w:shd w:val="clear" w:color="auto" w:fill="1F2D3D"/>
            <w:tcBorders>
              <w:top w:sz="4" w:val="single" w:color="CCCCCC"/>
              <w:left w:sz="4" w:val="single" w:color="CCCCCC"/>
              <w:bottom w:sz="4" w:val="single" w:color="CCCCCC"/>
              <w:right w:sz="4" w:val="single" w:color="CCCCCC"/>
            </w:tcBorders>
          </w:tcPr>
          <w:p>
            <w:r>
              <w:rPr>
                <w:b/>
                <w:color w:val="FFFFFF"/>
                <w:sz w:val="17"/>
              </w:rPr>
              <w:t>Selected Design Scenario</w:t>
            </w:r>
          </w:p>
        </w:tc>
        <w:tc>
          <w:tcPr>
            <w:tcW w:type="dxa" w:w="1080"/>
            <w:shd w:val="clear" w:color="auto" w:fill="1F2D3D"/>
            <w:tcBorders>
              <w:top w:sz="4" w:val="single" w:color="CCCCCC"/>
              <w:left w:sz="4" w:val="single" w:color="CCCCCC"/>
              <w:bottom w:sz="4" w:val="single" w:color="CCCCCC"/>
              <w:right w:sz="4" w:val="single" w:color="CCCCCC"/>
            </w:tcBorders>
          </w:tcPr>
          <w:p>
            <w:r>
              <w:rPr>
                <w:b/>
                <w:color w:val="FFFFFF"/>
                <w:sz w:val="17"/>
              </w:rPr>
              <w:t>Governing Required Count (whole units)</w:t>
            </w:r>
          </w:p>
        </w:tc>
        <w:tc>
          <w:tcPr>
            <w:tcW w:type="dxa" w:w="1224"/>
            <w:shd w:val="clear" w:color="auto" w:fill="1F2D3D"/>
            <w:tcBorders>
              <w:top w:sz="4" w:val="single" w:color="CCCCCC"/>
              <w:left w:sz="4" w:val="single" w:color="CCCCCC"/>
              <w:bottom w:sz="4" w:val="single" w:color="CCCCCC"/>
              <w:right w:sz="4" w:val="single" w:color="CCCCCC"/>
            </w:tcBorders>
          </w:tcPr>
          <w:p>
            <w:r>
              <w:rPr>
                <w:b/>
                <w:color w:val="FFFFFF"/>
                <w:sz w:val="17"/>
              </w:rPr>
              <w:t>Additional Redundancy or Surge Units</w:t>
            </w:r>
          </w:p>
        </w:tc>
        <w:tc>
          <w:tcPr>
            <w:tcW w:type="dxa" w:w="1080"/>
            <w:shd w:val="clear" w:color="auto" w:fill="1F2D3D"/>
            <w:tcBorders>
              <w:top w:sz="4" w:val="single" w:color="CCCCCC"/>
              <w:left w:sz="4" w:val="single" w:color="CCCCCC"/>
              <w:bottom w:sz="4" w:val="single" w:color="CCCCCC"/>
              <w:right w:sz="4" w:val="single" w:color="CCCCCC"/>
            </w:tcBorders>
          </w:tcPr>
          <w:p>
            <w:r>
              <w:rPr>
                <w:b/>
                <w:color w:val="FFFFFF"/>
                <w:sz w:val="17"/>
              </w:rPr>
              <w:t>Total Required Installed</w:t>
            </w:r>
          </w:p>
        </w:tc>
        <w:tc>
          <w:tcPr>
            <w:tcW w:type="dxa" w:w="936"/>
            <w:shd w:val="clear" w:color="auto" w:fill="1F2D3D"/>
            <w:tcBorders>
              <w:top w:sz="4" w:val="single" w:color="CCCCCC"/>
              <w:left w:sz="4" w:val="single" w:color="CCCCCC"/>
              <w:bottom w:sz="4" w:val="single" w:color="CCCCCC"/>
              <w:right w:sz="4" w:val="single" w:color="CCCCCC"/>
            </w:tcBorders>
          </w:tcPr>
          <w:p>
            <w:r>
              <w:rPr>
                <w:b/>
                <w:color w:val="FFFFFF"/>
                <w:sz w:val="17"/>
              </w:rPr>
              <w:t>Existing Usable</w:t>
            </w:r>
          </w:p>
        </w:tc>
        <w:tc>
          <w:tcPr>
            <w:tcW w:type="dxa" w:w="648"/>
            <w:shd w:val="clear" w:color="auto" w:fill="1F2D3D"/>
            <w:tcBorders>
              <w:top w:sz="4" w:val="single" w:color="CCCCCC"/>
              <w:left w:sz="4" w:val="single" w:color="CCCCCC"/>
              <w:bottom w:sz="4" w:val="single" w:color="CCCCCC"/>
              <w:right w:sz="4" w:val="single" w:color="CCCCCC"/>
            </w:tcBorders>
          </w:tcPr>
          <w:p>
            <w:r>
              <w:rPr>
                <w:b/>
                <w:color w:val="FFFFFF"/>
                <w:sz w:val="17"/>
              </w:rPr>
              <w:t>Net New</w:t>
            </w:r>
          </w:p>
        </w:tc>
        <w:tc>
          <w:tcPr>
            <w:tcW w:type="dxa" w:w="792"/>
            <w:shd w:val="clear" w:color="auto" w:fill="1F2D3D"/>
            <w:tcBorders>
              <w:top w:sz="4" w:val="single" w:color="CCCCCC"/>
              <w:left w:sz="4" w:val="single" w:color="CCCCCC"/>
              <w:bottom w:sz="4" w:val="single" w:color="CCCCCC"/>
              <w:right w:sz="4" w:val="single" w:color="CCCCCC"/>
            </w:tcBorders>
          </w:tcPr>
          <w:p>
            <w:r>
              <w:rPr>
                <w:b/>
                <w:color w:val="FFFFFF"/>
                <w:sz w:val="17"/>
              </w:rPr>
              <w:t>Notes</w:t>
            </w:r>
          </w:p>
        </w:tc>
      </w:tr>
      <w:tr>
        <w:trPr>
          <w:cantSplit w:val="true"/>
        </w:trPr>
        <w:tc>
          <w:tcPr>
            <w:tcW w:type="dxa" w:w="1944"/>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1008"/>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648"/>
            <w:tcBorders>
              <w:top w:sz="4" w:val="single" w:color="CCCCCC"/>
              <w:left w:sz="4" w:val="single" w:color="CCCCCC"/>
              <w:bottom w:sz="4" w:val="single" w:color="CCCCCC"/>
              <w:right w:sz="4" w:val="single" w:color="CCCCCC"/>
            </w:tcBorders>
          </w:tcPr>
          <w:p/>
        </w:tc>
        <w:tc>
          <w:tcPr>
            <w:tcW w:type="dxa" w:w="792"/>
            <w:tcBorders>
              <w:top w:sz="4" w:val="single" w:color="CCCCCC"/>
              <w:left w:sz="4" w:val="single" w:color="CCCCCC"/>
              <w:bottom w:sz="4" w:val="single" w:color="CCCCCC"/>
              <w:right w:sz="4" w:val="single" w:color="CCCCCC"/>
            </w:tcBorders>
          </w:tcPr>
          <w:p/>
        </w:tc>
      </w:tr>
      <w:tr>
        <w:trPr>
          <w:cantSplit w:val="true"/>
        </w:trPr>
        <w:tc>
          <w:tcPr>
            <w:tcW w:type="dxa" w:w="1944"/>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1008"/>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648"/>
            <w:tcBorders>
              <w:top w:sz="4" w:val="single" w:color="CCCCCC"/>
              <w:left w:sz="4" w:val="single" w:color="CCCCCC"/>
              <w:bottom w:sz="4" w:val="single" w:color="CCCCCC"/>
              <w:right w:sz="4" w:val="single" w:color="CCCCCC"/>
            </w:tcBorders>
          </w:tcPr>
          <w:p/>
        </w:tc>
        <w:tc>
          <w:tcPr>
            <w:tcW w:type="dxa" w:w="792"/>
            <w:tcBorders>
              <w:top w:sz="4" w:val="single" w:color="CCCCCC"/>
              <w:left w:sz="4" w:val="single" w:color="CCCCCC"/>
              <w:bottom w:sz="4" w:val="single" w:color="CCCCCC"/>
              <w:right w:sz="4" w:val="single" w:color="CCCCCC"/>
            </w:tcBorders>
          </w:tcPr>
          <w:p/>
        </w:tc>
      </w:tr>
      <w:tr>
        <w:trPr>
          <w:cantSplit w:val="true"/>
        </w:trPr>
        <w:tc>
          <w:tcPr>
            <w:tcW w:type="dxa" w:w="1944"/>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1008"/>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648"/>
            <w:tcBorders>
              <w:top w:sz="4" w:val="single" w:color="CCCCCC"/>
              <w:left w:sz="4" w:val="single" w:color="CCCCCC"/>
              <w:bottom w:sz="4" w:val="single" w:color="CCCCCC"/>
              <w:right w:sz="4" w:val="single" w:color="CCCCCC"/>
            </w:tcBorders>
          </w:tcPr>
          <w:p/>
        </w:tc>
        <w:tc>
          <w:tcPr>
            <w:tcW w:type="dxa" w:w="792"/>
            <w:tcBorders>
              <w:top w:sz="4" w:val="single" w:color="CCCCCC"/>
              <w:left w:sz="4" w:val="single" w:color="CCCCCC"/>
              <w:bottom w:sz="4" w:val="single" w:color="CCCCCC"/>
              <w:right w:sz="4" w:val="single" w:color="CCCCCC"/>
            </w:tcBorders>
          </w:tcPr>
          <w:p/>
        </w:tc>
      </w:tr>
      <w:tr>
        <w:trPr>
          <w:cantSplit w:val="true"/>
        </w:trPr>
        <w:tc>
          <w:tcPr>
            <w:tcW w:type="dxa" w:w="1944"/>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1008"/>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648"/>
            <w:tcBorders>
              <w:top w:sz="4" w:val="single" w:color="CCCCCC"/>
              <w:left w:sz="4" w:val="single" w:color="CCCCCC"/>
              <w:bottom w:sz="4" w:val="single" w:color="CCCCCC"/>
              <w:right w:sz="4" w:val="single" w:color="CCCCCC"/>
            </w:tcBorders>
          </w:tcPr>
          <w:p/>
        </w:tc>
        <w:tc>
          <w:tcPr>
            <w:tcW w:type="dxa" w:w="792"/>
            <w:tcBorders>
              <w:top w:sz="4" w:val="single" w:color="CCCCCC"/>
              <w:left w:sz="4" w:val="single" w:color="CCCCCC"/>
              <w:bottom w:sz="4" w:val="single" w:color="CCCCCC"/>
              <w:right w:sz="4" w:val="single" w:color="CCCCCC"/>
            </w:tcBorders>
          </w:tcPr>
          <w:p/>
        </w:tc>
      </w:tr>
      <w:tr>
        <w:trPr>
          <w:cantSplit w:val="true"/>
        </w:trPr>
        <w:tc>
          <w:tcPr>
            <w:tcW w:type="dxa" w:w="1944"/>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1008"/>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648"/>
            <w:tcBorders>
              <w:top w:sz="4" w:val="single" w:color="CCCCCC"/>
              <w:left w:sz="4" w:val="single" w:color="CCCCCC"/>
              <w:bottom w:sz="4" w:val="single" w:color="CCCCCC"/>
              <w:right w:sz="4" w:val="single" w:color="CCCCCC"/>
            </w:tcBorders>
          </w:tcPr>
          <w:p/>
        </w:tc>
        <w:tc>
          <w:tcPr>
            <w:tcW w:type="dxa" w:w="792"/>
            <w:tcBorders>
              <w:top w:sz="4" w:val="single" w:color="CCCCCC"/>
              <w:left w:sz="4" w:val="single" w:color="CCCCCC"/>
              <w:bottom w:sz="4" w:val="single" w:color="CCCCCC"/>
              <w:right w:sz="4" w:val="single" w:color="CCCCCC"/>
            </w:tcBorders>
          </w:tcPr>
          <w:p/>
        </w:tc>
      </w:tr>
      <w:tr>
        <w:trPr>
          <w:cantSplit w:val="true"/>
        </w:trPr>
        <w:tc>
          <w:tcPr>
            <w:tcW w:type="dxa" w:w="1944"/>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1008"/>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648"/>
            <w:tcBorders>
              <w:top w:sz="4" w:val="single" w:color="CCCCCC"/>
              <w:left w:sz="4" w:val="single" w:color="CCCCCC"/>
              <w:bottom w:sz="4" w:val="single" w:color="CCCCCC"/>
              <w:right w:sz="4" w:val="single" w:color="CCCCCC"/>
            </w:tcBorders>
          </w:tcPr>
          <w:p/>
        </w:tc>
        <w:tc>
          <w:tcPr>
            <w:tcW w:type="dxa" w:w="792"/>
            <w:tcBorders>
              <w:top w:sz="4" w:val="single" w:color="CCCCCC"/>
              <w:left w:sz="4" w:val="single" w:color="CCCCCC"/>
              <w:bottom w:sz="4" w:val="single" w:color="CCCCCC"/>
              <w:right w:sz="4" w:val="single" w:color="CCCCCC"/>
            </w:tcBorders>
          </w:tcPr>
          <w:p/>
        </w:tc>
      </w:tr>
    </w:tbl>
    <w:p>
      <w:pPr>
        <w:spacing w:before="280" w:after="120"/>
        <w:pBdr>
          <w:bottom w:val="single" w:sz="6" w:space="2" w:color="B8862E"/>
        </w:pBdr>
      </w:pPr>
      <w:r>
        <w:rPr>
          <w:b/>
          <w:color w:val="1F2D3D"/>
          <w:sz w:val="26"/>
        </w:rPr>
        <w:t>Part G — Staffing by Function &amp; Shift</w:t>
      </w:r>
    </w:p>
    <w:tbl>
      <w:tblPr>
        <w:tblW w:type="auto" w:w="0"/>
        <w:tblLayout w:type="fixed"/>
        <w:tblLook w:firstColumn="1" w:firstRow="1" w:lastColumn="0" w:lastRow="0" w:noHBand="0" w:noVBand="1" w:val="04A0"/>
      </w:tblPr>
      <w:tblGrid>
        <w:gridCol w:w="2304"/>
        <w:gridCol w:w="1152"/>
        <w:gridCol w:w="1152"/>
        <w:gridCol w:w="1152"/>
        <w:gridCol w:w="1152"/>
        <w:gridCol w:w="2736"/>
      </w:tblGrid>
      <w:tr>
        <w:trPr>
          <w:cantSplit w:val="true"/>
          <w:tblHeader w:val="true"/>
        </w:trPr>
        <w:tc>
          <w:tcPr>
            <w:tcW w:type="dxa" w:w="2304"/>
            <w:shd w:val="clear" w:color="auto" w:fill="1F2D3D"/>
            <w:tcBorders>
              <w:top w:sz="4" w:val="single" w:color="CCCCCC"/>
              <w:left w:sz="4" w:val="single" w:color="CCCCCC"/>
              <w:bottom w:sz="4" w:val="single" w:color="CCCCCC"/>
              <w:right w:sz="4" w:val="single" w:color="CCCCCC"/>
            </w:tcBorders>
          </w:tcPr>
          <w:p>
            <w:r>
              <w:rPr>
                <w:b/>
                <w:color w:val="FFFFFF"/>
                <w:sz w:val="17"/>
              </w:rPr>
              <w:t>Function / Role</w:t>
            </w:r>
          </w:p>
        </w:tc>
        <w:tc>
          <w:tcPr>
            <w:tcW w:type="dxa" w:w="1152"/>
            <w:shd w:val="clear" w:color="auto" w:fill="1F2D3D"/>
            <w:tcBorders>
              <w:top w:sz="4" w:val="single" w:color="CCCCCC"/>
              <w:left w:sz="4" w:val="single" w:color="CCCCCC"/>
              <w:bottom w:sz="4" w:val="single" w:color="CCCCCC"/>
              <w:right w:sz="4" w:val="single" w:color="CCCCCC"/>
            </w:tcBorders>
          </w:tcPr>
          <w:p>
            <w:r>
              <w:rPr>
                <w:b/>
                <w:color w:val="FFFFFF"/>
                <w:sz w:val="17"/>
              </w:rPr>
              <w:t>Shift 1 FTE</w:t>
            </w:r>
          </w:p>
        </w:tc>
        <w:tc>
          <w:tcPr>
            <w:tcW w:type="dxa" w:w="1152"/>
            <w:shd w:val="clear" w:color="auto" w:fill="1F2D3D"/>
            <w:tcBorders>
              <w:top w:sz="4" w:val="single" w:color="CCCCCC"/>
              <w:left w:sz="4" w:val="single" w:color="CCCCCC"/>
              <w:bottom w:sz="4" w:val="single" w:color="CCCCCC"/>
              <w:right w:sz="4" w:val="single" w:color="CCCCCC"/>
            </w:tcBorders>
          </w:tcPr>
          <w:p>
            <w:r>
              <w:rPr>
                <w:b/>
                <w:color w:val="FFFFFF"/>
                <w:sz w:val="17"/>
              </w:rPr>
              <w:t>Shift 2 FTE</w:t>
            </w:r>
          </w:p>
        </w:tc>
        <w:tc>
          <w:tcPr>
            <w:tcW w:type="dxa" w:w="1152"/>
            <w:shd w:val="clear" w:color="auto" w:fill="1F2D3D"/>
            <w:tcBorders>
              <w:top w:sz="4" w:val="single" w:color="CCCCCC"/>
              <w:left w:sz="4" w:val="single" w:color="CCCCCC"/>
              <w:bottom w:sz="4" w:val="single" w:color="CCCCCC"/>
              <w:right w:sz="4" w:val="single" w:color="CCCCCC"/>
            </w:tcBorders>
          </w:tcPr>
          <w:p>
            <w:r>
              <w:rPr>
                <w:b/>
                <w:color w:val="FFFFFF"/>
                <w:sz w:val="17"/>
              </w:rPr>
              <w:t>Shift 3 FTE</w:t>
            </w:r>
          </w:p>
        </w:tc>
        <w:tc>
          <w:tcPr>
            <w:tcW w:type="dxa" w:w="1152"/>
            <w:shd w:val="clear" w:color="auto" w:fill="1F2D3D"/>
            <w:tcBorders>
              <w:top w:sz="4" w:val="single" w:color="CCCCCC"/>
              <w:left w:sz="4" w:val="single" w:color="CCCCCC"/>
              <w:bottom w:sz="4" w:val="single" w:color="CCCCCC"/>
              <w:right w:sz="4" w:val="single" w:color="CCCCCC"/>
            </w:tcBorders>
          </w:tcPr>
          <w:p>
            <w:r>
              <w:rPr>
                <w:b/>
                <w:color w:val="FFFFFF"/>
                <w:sz w:val="17"/>
              </w:rPr>
              <w:t>Total FTE</w:t>
            </w:r>
          </w:p>
        </w:tc>
        <w:tc>
          <w:tcPr>
            <w:tcW w:type="dxa" w:w="2736"/>
            <w:shd w:val="clear" w:color="auto" w:fill="1F2D3D"/>
            <w:tcBorders>
              <w:top w:sz="4" w:val="single" w:color="CCCCCC"/>
              <w:left w:sz="4" w:val="single" w:color="CCCCCC"/>
              <w:bottom w:sz="4" w:val="single" w:color="CCCCCC"/>
              <w:right w:sz="4" w:val="single" w:color="CCCCCC"/>
            </w:tcBorders>
          </w:tcPr>
          <w:p>
            <w:r>
              <w:rPr>
                <w:b/>
                <w:color w:val="FFFFFF"/>
                <w:sz w:val="17"/>
              </w:rPr>
              <w:t>Notes</w:t>
            </w:r>
          </w:p>
        </w:tc>
      </w:tr>
      <w:tr>
        <w:trPr>
          <w:cantSplit w:val="true"/>
        </w:trPr>
        <w:tc>
          <w:tcPr>
            <w:tcW w:type="dxa" w:w="2304"/>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r>
      <w:tr>
        <w:trPr>
          <w:cantSplit w:val="true"/>
        </w:trPr>
        <w:tc>
          <w:tcPr>
            <w:tcW w:type="dxa" w:w="2304"/>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r>
      <w:tr>
        <w:trPr>
          <w:cantSplit w:val="true"/>
        </w:trPr>
        <w:tc>
          <w:tcPr>
            <w:tcW w:type="dxa" w:w="2304"/>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r>
      <w:tr>
        <w:trPr>
          <w:cantSplit w:val="true"/>
        </w:trPr>
        <w:tc>
          <w:tcPr>
            <w:tcW w:type="dxa" w:w="2304"/>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r>
      <w:tr>
        <w:trPr>
          <w:cantSplit w:val="true"/>
        </w:trPr>
        <w:tc>
          <w:tcPr>
            <w:tcW w:type="dxa" w:w="2304"/>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r>
    </w:tbl>
    <w:p>
      <w:pPr>
        <w:spacing w:before="280" w:after="120"/>
        <w:pBdr>
          <w:bottom w:val="single" w:sz="6" w:space="2" w:color="B8862E"/>
        </w:pBdr>
      </w:pPr>
      <w:r>
        <w:rPr>
          <w:b/>
          <w:color w:val="1F2D3D"/>
          <w:sz w:val="26"/>
        </w:rPr>
        <w:t>Part H — Production/Service, Storage, Staging &amp; Support Space Needs</w:t>
      </w:r>
    </w:p>
    <w:p>
      <w:pPr>
        <w:spacing w:after="160"/>
      </w:pPr>
      <w:r>
        <w:rPr>
          <w:b w:val="0"/>
          <w:i w:val="0"/>
          <w:sz w:val="18"/>
        </w:rPr>
        <w:t>High-level needs this model drives — refined into exact GSF/NSF/OSF/NOSF on the Space &amp; Density Worksheet once a layout is selected.</w:t>
      </w:r>
    </w:p>
    <w:tbl>
      <w:tblPr>
        <w:tblW w:type="auto" w:w="0"/>
        <w:tblLayout w:type="fixed"/>
        <w:tblLook w:firstColumn="1" w:firstRow="1" w:lastColumn="0" w:lastRow="0" w:noHBand="0" w:noVBand="1" w:val="04A0"/>
      </w:tblPr>
      <w:tblGrid>
        <w:gridCol w:w="2160"/>
        <w:gridCol w:w="2736"/>
        <w:gridCol w:w="2160"/>
        <w:gridCol w:w="2592"/>
      </w:tblGrid>
      <w:tr>
        <w:trPr>
          <w:cantSplit w:val="true"/>
          <w:tblHeader w:val="true"/>
        </w:trPr>
        <w:tc>
          <w:tcPr>
            <w:tcW w:type="dxa" w:w="2160"/>
            <w:shd w:val="clear" w:color="auto" w:fill="1F2D3D"/>
            <w:tcBorders>
              <w:top w:sz="4" w:val="single" w:color="CCCCCC"/>
              <w:left w:sz="4" w:val="single" w:color="CCCCCC"/>
              <w:bottom w:sz="4" w:val="single" w:color="CCCCCC"/>
              <w:right w:sz="4" w:val="single" w:color="CCCCCC"/>
            </w:tcBorders>
          </w:tcPr>
          <w:p>
            <w:r>
              <w:rPr>
                <w:b/>
                <w:color w:val="FFFFFF"/>
                <w:sz w:val="17"/>
              </w:rPr>
              <w:t>Space-Driving Need</w:t>
            </w:r>
          </w:p>
        </w:tc>
        <w:tc>
          <w:tcPr>
            <w:tcW w:type="dxa" w:w="2736"/>
            <w:shd w:val="clear" w:color="auto" w:fill="1F2D3D"/>
            <w:tcBorders>
              <w:top w:sz="4" w:val="single" w:color="CCCCCC"/>
              <w:left w:sz="4" w:val="single" w:color="CCCCCC"/>
              <w:bottom w:sz="4" w:val="single" w:color="CCCCCC"/>
              <w:right w:sz="4" w:val="single" w:color="CCCCCC"/>
            </w:tcBorders>
          </w:tcPr>
          <w:p>
            <w:r>
              <w:rPr>
                <w:b/>
                <w:color w:val="FFFFFF"/>
                <w:sz w:val="17"/>
              </w:rPr>
              <w:t>Category (Production/Service · Storage · Staging/WIP/Queue · Support)</w:t>
            </w:r>
          </w:p>
        </w:tc>
        <w:tc>
          <w:tcPr>
            <w:tcW w:type="dxa" w:w="2160"/>
            <w:shd w:val="clear" w:color="auto" w:fill="1F2D3D"/>
            <w:tcBorders>
              <w:top w:sz="4" w:val="single" w:color="CCCCCC"/>
              <w:left w:sz="4" w:val="single" w:color="CCCCCC"/>
              <w:bottom w:sz="4" w:val="single" w:color="CCCCCC"/>
              <w:right w:sz="4" w:val="single" w:color="CCCCCC"/>
            </w:tcBorders>
          </w:tcPr>
          <w:p>
            <w:r>
              <w:rPr>
                <w:b/>
                <w:color w:val="FFFFFF"/>
                <w:sz w:val="17"/>
              </w:rPr>
              <w:t>Basis / Quantity</w:t>
            </w:r>
          </w:p>
        </w:tc>
        <w:tc>
          <w:tcPr>
            <w:tcW w:type="dxa" w:w="2592"/>
            <w:shd w:val="clear" w:color="auto" w:fill="1F2D3D"/>
            <w:tcBorders>
              <w:top w:sz="4" w:val="single" w:color="CCCCCC"/>
              <w:left w:sz="4" w:val="single" w:color="CCCCCC"/>
              <w:bottom w:sz="4" w:val="single" w:color="CCCCCC"/>
              <w:right w:sz="4" w:val="single" w:color="CCCCCC"/>
            </w:tcBorders>
          </w:tcPr>
          <w:p>
            <w:r>
              <w:rPr>
                <w:b/>
                <w:color w:val="FFFFFF"/>
                <w:sz w:val="17"/>
              </w:rPr>
              <w:t>Notes</w:t>
            </w:r>
          </w:p>
        </w:tc>
      </w:tr>
      <w:tr>
        <w:trPr>
          <w:cantSplit w:val="true"/>
        </w:trPr>
        <w:tc>
          <w:tcPr>
            <w:tcW w:type="dxa" w:w="2160"/>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2592"/>
            <w:tcBorders>
              <w:top w:sz="4" w:val="single" w:color="CCCCCC"/>
              <w:left w:sz="4" w:val="single" w:color="CCCCCC"/>
              <w:bottom w:sz="4" w:val="single" w:color="CCCCCC"/>
              <w:right w:sz="4" w:val="single" w:color="CCCCCC"/>
            </w:tcBorders>
          </w:tcPr>
          <w:p/>
        </w:tc>
      </w:tr>
      <w:tr>
        <w:trPr>
          <w:cantSplit w:val="true"/>
        </w:trPr>
        <w:tc>
          <w:tcPr>
            <w:tcW w:type="dxa" w:w="2160"/>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2592"/>
            <w:tcBorders>
              <w:top w:sz="4" w:val="single" w:color="CCCCCC"/>
              <w:left w:sz="4" w:val="single" w:color="CCCCCC"/>
              <w:bottom w:sz="4" w:val="single" w:color="CCCCCC"/>
              <w:right w:sz="4" w:val="single" w:color="CCCCCC"/>
            </w:tcBorders>
          </w:tcPr>
          <w:p/>
        </w:tc>
      </w:tr>
      <w:tr>
        <w:trPr>
          <w:cantSplit w:val="true"/>
        </w:trPr>
        <w:tc>
          <w:tcPr>
            <w:tcW w:type="dxa" w:w="2160"/>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2592"/>
            <w:tcBorders>
              <w:top w:sz="4" w:val="single" w:color="CCCCCC"/>
              <w:left w:sz="4" w:val="single" w:color="CCCCCC"/>
              <w:bottom w:sz="4" w:val="single" w:color="CCCCCC"/>
              <w:right w:sz="4" w:val="single" w:color="CCCCCC"/>
            </w:tcBorders>
          </w:tcPr>
          <w:p/>
        </w:tc>
      </w:tr>
      <w:tr>
        <w:trPr>
          <w:cantSplit w:val="true"/>
        </w:trPr>
        <w:tc>
          <w:tcPr>
            <w:tcW w:type="dxa" w:w="2160"/>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2592"/>
            <w:tcBorders>
              <w:top w:sz="4" w:val="single" w:color="CCCCCC"/>
              <w:left w:sz="4" w:val="single" w:color="CCCCCC"/>
              <w:bottom w:sz="4" w:val="single" w:color="CCCCCC"/>
              <w:right w:sz="4" w:val="single" w:color="CCCCCC"/>
            </w:tcBorders>
          </w:tcPr>
          <w:p/>
        </w:tc>
      </w:tr>
    </w:tbl>
    <w:p>
      <w:pPr>
        <w:spacing w:before="280" w:after="120"/>
        <w:pBdr>
          <w:bottom w:val="single" w:sz="6" w:space="2" w:color="B8862E"/>
        </w:pBdr>
      </w:pPr>
      <w:r>
        <w:rPr>
          <w:b/>
          <w:color w:val="1F2D3D"/>
          <w:sz w:val="26"/>
        </w:rPr>
        <w:t>Part I — Material-Handling, Utility &amp; Redundancy Summary</w:t>
      </w:r>
    </w:p>
    <w:tbl>
      <w:tblPr>
        <w:tblW w:type="auto" w:w="0"/>
        <w:tblLayout w:type="fixed"/>
        <w:tblLook w:firstColumn="1" w:firstRow="1" w:lastColumn="0" w:lastRow="0" w:noHBand="0" w:noVBand="1" w:val="04A0"/>
      </w:tblPr>
      <w:tblGrid>
        <w:gridCol w:w="3312"/>
        <w:gridCol w:w="6192"/>
      </w:tblGrid>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Material-Handling / Internal-Transport Requirements</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Utility &amp; Infrastructure Demand (summary)</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Detailed further on the Utility Requirements Matrix</w:t>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Redundancy / Surge Capacity Required (narrative basis)</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The quantities themselves are entered in Part F (Additional Redundancy or Surge Units, Total Required Installed) — this field states why, not a separate number</w:t>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Key Assumptions Stated (overall)</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Prepared By / Date</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bl>
    <w:p>
      <w:pPr>
        <w:spacing w:before="0" w:after="0"/>
        <w:rPr>
          <w:sz w:val="2"/>
        </w:rPr>
      </w:pPr>
    </w:p>
    <w:sectPr w:rsidR="00FC693F" w:rsidRPr="0006063C" w:rsidSect="00034616">
      <w:footerReference w:type="default" r:id="rId9"/>
      <w:pgSz w:w="12240" w:h="15840"/>
      <w:pgMar w:top="1008" w:right="1296" w:bottom="1008" w:left="129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CCCCCC"/>
      </w:pBdr>
    </w:pPr>
    <w:r/>
    <w:r>
      <w:rPr>
        <w:color w:val="555555"/>
        <w:sz w:val="17"/>
      </w:rPr>
      <w:t>Veritas Concept Engineering  ·  Robin Owens  ·  www.veritasconcept.com</w:t>
    </w:r>
  </w:p>
  <w:p>
    <w:pPr>
      <w:jc w:val="center"/>
    </w:pPr>
    <w:r>
      <w:rPr>
        <w:i/>
        <w:color w:val="555555"/>
        <w:sz w:val="16"/>
      </w:rPr>
      <w:t>Part of the Facility Readiness Framework (FRF) — free for public use. Download, adapt, and use for your own capital-project planning.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