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Operating-Cost Impact Worksheet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Identifies, and quantifies where reliable data exists, the ongoing operating costs the selected layout locks in for decades — the question a layout decision made on capital cost alone always misses.</w:t>
      </w:r>
    </w:p>
    <w:p>
      <w:pPr>
        <w:spacing w:after="160"/>
      </w:pPr>
      <w:r>
        <w:rPr>
          <w:b w:val="0"/>
          <w:i w:val="0"/>
          <w:sz w:val="19"/>
        </w:rPr>
        <w:t>Not a precise annual calculation — false precision this early can weaken the framework as much as skipping it entirely. Mark what you can't yet estimate honestly rather than guessing a number. Narrower than the Weighted-Factor Scorecard's cost criterion: that compares alternatives to help choose between them; this quantifies the consequences of the one actually selected.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736"/>
        <w:gridCol w:w="1440"/>
        <w:gridCol w:w="1584"/>
        <w:gridCol w:w="1728"/>
      </w:tblGrid>
      <w:tr>
        <w:tc>
          <w:tcPr>
            <w:tcW w:type="dxa" w:w="1930"/>
            <w:shd w:val="clear" w:color="auto" w:fill="1F2D3D"/>
          </w:tcPr>
          <w:p>
            <w:r>
              <w:rPr>
                <w:b/>
                <w:color w:val="FFFFFF"/>
                <w:sz w:val="17"/>
              </w:rPr>
              <w:t>Cost Category</w:t>
            </w:r>
          </w:p>
        </w:tc>
        <w:tc>
          <w:tcPr>
            <w:tcW w:type="dxa" w:w="1930"/>
            <w:shd w:val="clear" w:color="auto" w:fill="1F2D3D"/>
          </w:tcPr>
          <w:p>
            <w:r>
              <w:rPr>
                <w:b/>
                <w:color w:val="FFFFFF"/>
                <w:sz w:val="17"/>
              </w:rPr>
              <w:t>How the Selected Layout Affects It</w:t>
            </w:r>
          </w:p>
        </w:tc>
        <w:tc>
          <w:tcPr>
            <w:tcW w:type="dxa" w:w="1930"/>
            <w:shd w:val="clear" w:color="auto" w:fill="1F2D3D"/>
          </w:tcPr>
          <w:p>
            <w:r>
              <w:rPr>
                <w:b/>
                <w:color w:val="FFFFFF"/>
                <w:sz w:val="17"/>
              </w:rPr>
              <w:t>Est. Annual Impact ($)</w:t>
            </w:r>
          </w:p>
        </w:tc>
        <w:tc>
          <w:tcPr>
            <w:tcW w:type="dxa" w:w="1930"/>
            <w:shd w:val="clear" w:color="auto" w:fill="1F2D3D"/>
          </w:tcPr>
          <w:p>
            <w:r>
              <w:rPr>
                <w:b/>
                <w:color w:val="FFFFFF"/>
                <w:sz w:val="17"/>
              </w:rPr>
              <w:t>Data Confidence</w:t>
            </w:r>
          </w:p>
        </w:tc>
        <w:tc>
          <w:tcPr>
            <w:tcW w:type="dxa" w:w="1930"/>
            <w:shd w:val="clear" w:color="auto" w:fill="1F2D3D"/>
          </w:tcPr>
          <w:p>
            <w:r>
              <w:rPr>
                <w:b/>
                <w:color w:val="FFFFFF"/>
                <w:sz w:val="17"/>
              </w:rPr>
              <w:t>Basis / Source</w:t>
            </w:r>
          </w:p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Direct &amp; Indirect Labor</w:t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Travel &amp; Material Handling</w:t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Inventory &amp; Work-in-Process</w:t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Energy &amp; Utilities</w:t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Maintenance &amp; Equipment Access</w:t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Internal Transportation</w:t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Lost Throughput / Waiting</w:t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7"/>
              </w:rPr>
              <w:t>Cost of Future Expansion or Disruption</w:t>
            </w:r>
          </w:p>
        </w:tc>
        <w:tc>
          <w:tcPr>
            <w:tcW w:type="dxa" w:w="273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after="80"/>
      </w:pPr>
      <w:r>
        <w:rPr>
          <w:b w:val="0"/>
          <w:i w:val="0"/>
          <w:sz w:val="18"/>
        </w:rPr>
        <w:t>Data Confidence — mark each row: Rough Order-of-Magnitude / Reasonably Reliable / Not Estimated (insufficient data). A row full of "Not Estimated" is honest; a row full of invented numbers is not.</w:t>
      </w:r>
    </w:p>
    <w:p>
      <w:pPr>
        <w:spacing w:before="16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Comparison Basis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Baseline Arrangement Described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What "current" or "next-best alternative" means for this comparison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Selected Layout Reference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Cite the Selection Decision Record / Block Layout Alternative Summary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Overall Assessment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Net favorable or unfavorable vs. baseline, and why — in plain language, not a single blended number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Prepared By /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