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</w:pPr>
      <w:r>
        <w:rPr>
          <w:rFonts w:ascii="Calibri" w:hAnsi="Calibri"/>
          <w:b/>
          <w:color w:val="1F2D3D"/>
          <w:sz w:val="20"/>
        </w:rPr>
        <w:t>VERITAS CONCEPT ENGINEERING</w:t>
      </w:r>
    </w:p>
    <w:p>
      <w:pPr>
        <w:spacing w:after="200"/>
      </w:pPr>
      <w:r>
        <w:rPr>
          <w:i/>
          <w:color w:val="555555"/>
          <w:sz w:val="18"/>
        </w:rPr>
        <w:t>Facilities Planning Consulting — Robin Owens</w:t>
      </w:r>
    </w:p>
    <w:p>
      <w:pPr>
        <w:spacing w:after="40"/>
      </w:pPr>
      <w:r>
        <w:rPr>
          <w:b/>
          <w:color w:val="B8862E"/>
          <w:sz w:val="16"/>
        </w:rPr>
        <w:t>FRF · PHASE 2 OF 4 · DEFINE THE SCOPE</w:t>
      </w:r>
    </w:p>
    <w:p>
      <w:pPr>
        <w:spacing w:after="40"/>
      </w:pPr>
      <w:r>
        <w:rPr>
          <w:b/>
          <w:color w:val="1F2D3D"/>
          <w:sz w:val="40"/>
        </w:rPr>
        <w:t>Package Checklist</w:t>
      </w:r>
    </w:p>
    <w:p>
      <w:pPr>
        <w:spacing w:after="240"/>
      </w:pPr>
      <w:r>
        <w:rPr>
          <w:i/>
          <w:color w:val="B8862E"/>
          <w:sz w:val="24"/>
        </w:rPr>
        <w:t>Phase 2 — Define the Scope (Gate 2: Scope Locked — Non-Compensable Gate)</w:t>
      </w:r>
    </w:p>
    <w:p>
      <w:pPr>
        <w:spacing w:after="160"/>
      </w:pPr>
      <w:r>
        <w:rPr>
          <w:b w:val="0"/>
          <w:i w:val="0"/>
          <w:sz w:val="19"/>
        </w:rPr>
        <w:t>Confirms the full Phase 2 package is complete before handoff.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608"/>
        <w:gridCol w:w="1296"/>
        <w:gridCol w:w="3312"/>
      </w:tblGrid>
      <w:tr>
        <w:tc>
          <w:tcPr>
            <w:tcW w:type="dxa" w:w="3216"/>
            <w:shd w:val="clear" w:color="auto" w:fill="1F2D3D"/>
          </w:tcPr>
          <w:p>
            <w:r>
              <w:rPr>
                <w:b/>
                <w:color w:val="FFFFFF"/>
                <w:sz w:val="18"/>
              </w:rPr>
              <w:t>Item</w:t>
            </w:r>
          </w:p>
        </w:tc>
        <w:tc>
          <w:tcPr>
            <w:tcW w:type="dxa" w:w="3216"/>
            <w:shd w:val="clear" w:color="auto" w:fill="1F2D3D"/>
          </w:tcPr>
          <w:p>
            <w:r>
              <w:rPr>
                <w:b/>
                <w:color w:val="FFFFFF"/>
                <w:sz w:val="18"/>
              </w:rPr>
              <w:t>Included (☐)</w:t>
            </w:r>
          </w:p>
        </w:tc>
        <w:tc>
          <w:tcPr>
            <w:tcW w:type="dxa" w:w="3216"/>
            <w:shd w:val="clear" w:color="auto" w:fill="1F2D3D"/>
          </w:tcPr>
          <w:p>
            <w:r>
              <w:rPr>
                <w:b/>
                <w:color w:val="FFFFFF"/>
                <w:sz w:val="18"/>
              </w:rPr>
              <w:t>Notes</w:t>
            </w:r>
          </w:p>
        </w:tc>
      </w:tr>
      <w:tr>
        <w:tc>
          <w:tcPr>
            <w:tcW w:type="dxa" w:w="4608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r>
              <w:rPr>
                <w:sz w:val="18"/>
              </w:rPr>
              <w:t>Executive Design Directives &amp; Constraints Log (every row shows "Addressed Where")</w:t>
            </w:r>
          </w:p>
        </w:tc>
        <w:tc>
          <w:tcPr>
            <w:tcW w:type="dxa" w:w="1296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331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</w:tr>
      <w:tr>
        <w:tc>
          <w:tcPr>
            <w:tcW w:type="dxa" w:w="4608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r>
              <w:rPr>
                <w:sz w:val="18"/>
              </w:rPr>
              <w:t>Operational Needs Summary (product/service, quantity, routing, supporting services, timing, preliminary capacity read)</w:t>
            </w:r>
          </w:p>
        </w:tc>
        <w:tc>
          <w:tcPr>
            <w:tcW w:type="dxa" w:w="1296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331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</w:tr>
      <w:tr>
        <w:tc>
          <w:tcPr>
            <w:tcW w:type="dxa" w:w="4608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r>
              <w:rPr>
                <w:sz w:val="18"/>
              </w:rPr>
              <w:t>Headcount Planning Worksheet (parking, seating, restroom, and cafeteria counts sized against it)</w:t>
            </w:r>
          </w:p>
        </w:tc>
        <w:tc>
          <w:tcPr>
            <w:tcW w:type="dxa" w:w="1296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331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</w:tr>
      <w:tr>
        <w:tc>
          <w:tcPr>
            <w:tcW w:type="dxa" w:w="4608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r>
              <w:rPr>
                <w:sz w:val="18"/>
              </w:rPr>
              <w:t>Activity List &amp; Space Requirements Worksheet (interior and exterior/site areas)</w:t>
            </w:r>
          </w:p>
        </w:tc>
        <w:tc>
          <w:tcPr>
            <w:tcW w:type="dxa" w:w="1296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331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</w:tr>
      <w:tr>
        <w:tc>
          <w:tcPr>
            <w:tcW w:type="dxa" w:w="4608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r>
              <w:rPr>
                <w:sz w:val="18"/>
              </w:rPr>
              <w:t>Operating Sequence and Routing Worksheet (operating sequence validated; resource-level routings documented by Routing ID where needed for capacity modeling)</w:t>
            </w:r>
          </w:p>
        </w:tc>
        <w:tc>
          <w:tcPr>
            <w:tcW w:type="dxa" w:w="1296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331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</w:tr>
      <w:tr>
        <w:tc>
          <w:tcPr>
            <w:tcW w:type="dxa" w:w="4608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r>
              <w:rPr>
                <w:sz w:val="18"/>
              </w:rPr>
              <w:t>Relationship Chart Worksheet (refined against selected layout)</w:t>
            </w:r>
          </w:p>
        </w:tc>
        <w:tc>
          <w:tcPr>
            <w:tcW w:type="dxa" w:w="1296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331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</w:tr>
      <w:tr>
        <w:tc>
          <w:tcPr>
            <w:tcW w:type="dxa" w:w="4608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r>
              <w:rPr>
                <w:sz w:val="18"/>
              </w:rPr>
              <w:t>Site &amp; Circulation Flow Worksheet (refined against selected layout)</w:t>
            </w:r>
          </w:p>
        </w:tc>
        <w:tc>
          <w:tcPr>
            <w:tcW w:type="dxa" w:w="1296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331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</w:tr>
      <w:tr>
        <w:tc>
          <w:tcPr>
            <w:tcW w:type="dxa" w:w="4608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r>
              <w:rPr>
                <w:sz w:val="18"/>
              </w:rPr>
              <w:t>Block Layout Plan (selected alternative — includes site plan)</w:t>
            </w:r>
          </w:p>
        </w:tc>
        <w:tc>
          <w:tcPr>
            <w:tcW w:type="dxa" w:w="1296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331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</w:tr>
      <w:tr>
        <w:tc>
          <w:tcPr>
            <w:tcW w:type="dxa" w:w="4608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r>
              <w:rPr>
                <w:sz w:val="18"/>
              </w:rPr>
              <w:t>Block Layout Alternative Summary (all alternatives considered)</w:t>
            </w:r>
          </w:p>
        </w:tc>
        <w:tc>
          <w:tcPr>
            <w:tcW w:type="dxa" w:w="1296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331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</w:tr>
      <w:tr>
        <w:tc>
          <w:tcPr>
            <w:tcW w:type="dxa" w:w="4608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r>
              <w:rPr>
                <w:sz w:val="18"/>
              </w:rPr>
              <w:t>Mandatory Constraints Screen (Form 09, Part A — every alternative screened, Pass/Fail/Not Verified/Approved Exception recorded with Constraint ID and evidence reference)</w:t>
            </w:r>
          </w:p>
        </w:tc>
        <w:tc>
          <w:tcPr>
            <w:tcW w:type="dxa" w:w="1296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331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</w:tr>
      <w:tr>
        <w:tc>
          <w:tcPr>
            <w:tcW w:type="dxa" w:w="4608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r>
              <w:rPr>
                <w:sz w:val="18"/>
              </w:rPr>
              <w:t>Weighted-Factor Scorecard (Excel tool, completed — eligible alternatives only)</w:t>
            </w:r>
          </w:p>
        </w:tc>
        <w:tc>
          <w:tcPr>
            <w:tcW w:type="dxa" w:w="1296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331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</w:tr>
      <w:tr>
        <w:tc>
          <w:tcPr>
            <w:tcW w:type="dxa" w:w="4608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r>
              <w:rPr>
                <w:sz w:val="18"/>
              </w:rPr>
              <w:t>Selection Decision Record (constraints-screen result and pre-Gate-2 reconfirmation both recorded)</w:t>
            </w:r>
          </w:p>
        </w:tc>
        <w:tc>
          <w:tcPr>
            <w:tcW w:type="dxa" w:w="1296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331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</w:tr>
      <w:tr>
        <w:tc>
          <w:tcPr>
            <w:tcW w:type="dxa" w:w="4608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r>
              <w:rPr>
                <w:sz w:val="18"/>
              </w:rPr>
              <w:t>Capacity Model Worksheet (required vs. demonstrated throughput, staffing, space, and redundancy needs)</w:t>
            </w:r>
          </w:p>
        </w:tc>
        <w:tc>
          <w:tcPr>
            <w:tcW w:type="dxa" w:w="1296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331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</w:tr>
      <w:tr>
        <w:tc>
          <w:tcPr>
            <w:tcW w:type="dxa" w:w="4608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r>
              <w:rPr>
                <w:sz w:val="18"/>
              </w:rPr>
              <w:t>Space &amp; Density Worksheet (GSF/NSF/OSF/NOSF + EPD)</w:t>
            </w:r>
          </w:p>
        </w:tc>
        <w:tc>
          <w:tcPr>
            <w:tcW w:type="dxa" w:w="1296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331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</w:tr>
      <w:tr>
        <w:tc>
          <w:tcPr>
            <w:tcW w:type="dxa" w:w="4608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r>
              <w:rPr>
                <w:sz w:val="18"/>
              </w:rPr>
              <w:t>Flow &amp; Travel-Distance Tracker</w:t>
            </w:r>
          </w:p>
        </w:tc>
        <w:tc>
          <w:tcPr>
            <w:tcW w:type="dxa" w:w="1296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331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</w:tr>
      <w:tr>
        <w:tc>
          <w:tcPr>
            <w:tcW w:type="dxa" w:w="4608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r>
              <w:rPr>
                <w:sz w:val="18"/>
              </w:rPr>
              <w:t>Operating-Cost Impact Worksheet (layout's operating-cost consequences identified)</w:t>
            </w:r>
          </w:p>
        </w:tc>
        <w:tc>
          <w:tcPr>
            <w:tcW w:type="dxa" w:w="1296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331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</w:tr>
      <w:tr>
        <w:tc>
          <w:tcPr>
            <w:tcW w:type="dxa" w:w="4608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r>
              <w:rPr>
                <w:sz w:val="18"/>
              </w:rPr>
              <w:t>Utility Requirements Matrix</w:t>
            </w:r>
          </w:p>
        </w:tc>
        <w:tc>
          <w:tcPr>
            <w:tcW w:type="dxa" w:w="1296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331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</w:tr>
      <w:tr>
        <w:tc>
          <w:tcPr>
            <w:tcW w:type="dxa" w:w="4608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r>
              <w:rPr>
                <w:sz w:val="18"/>
              </w:rPr>
              <w:t>Detailed 3D Layout (architectural shell + equipment), if a 3D model was built</w:t>
            </w:r>
          </w:p>
        </w:tc>
        <w:tc>
          <w:tcPr>
            <w:tcW w:type="dxa" w:w="1296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331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</w:tr>
      <w:tr>
        <w:tc>
          <w:tcPr>
            <w:tcW w:type="dxa" w:w="4608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r>
              <w:rPr>
                <w:sz w:val="18"/>
              </w:rPr>
              <w:t>Gate 2 Evidence Register (all 14 Operational Evidence Chain items Confirmed and accepted)</w:t>
            </w:r>
          </w:p>
        </w:tc>
        <w:tc>
          <w:tcPr>
            <w:tcW w:type="dxa" w:w="1296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331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</w:tr>
    </w:tbl>
    <w:p>
      <w:pPr>
        <w:spacing w:before="0" w:after="0"/>
        <w:rPr>
          <w:sz w:val="2"/>
        </w:rPr>
      </w:pPr>
    </w:p>
    <w:sectPr w:rsidR="00FC693F" w:rsidRPr="0006063C" w:rsidSect="00034616">
      <w:footerReference w:type="default" r:id="rId9"/>
      <w:pgSz w:w="12240" w:h="15840"/>
      <w:pgMar w:top="1008" w:right="1296" w:bottom="1008" w:left="1296" w:header="720" w:footer="28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  <w:pBdr>
        <w:top w:val="single" w:sz="4" w:space="4" w:color="CCCCCC"/>
      </w:pBdr>
    </w:pPr>
    <w:r/>
    <w:r>
      <w:rPr>
        <w:color w:val="555555"/>
        <w:sz w:val="17"/>
      </w:rPr>
      <w:t>Veritas Concept Engineering  ·  Robin Owens  ·  www.veritasconcept.com</w:t>
    </w:r>
  </w:p>
  <w:p>
    <w:pPr>
      <w:jc w:val="center"/>
    </w:pPr>
    <w:r>
      <w:rPr>
        <w:i/>
        <w:color w:val="555555"/>
        <w:sz w:val="16"/>
      </w:rPr>
      <w:t>Part of the Facility Readiness Framework (FRF) — free for public use. Download, adapt, and use for your own capital-project planning.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