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left"/>
      </w:pPr>
      <w:r>
        <w:rPr>
          <w:rFonts w:ascii="Calibri" w:hAnsi="Calibri"/>
          <w:b/>
          <w:color w:val="1F2D3D"/>
          <w:sz w:val="20"/>
        </w:rPr>
        <w:t>VERITAS CONCEPT ENGINEERING</w:t>
      </w:r>
    </w:p>
    <w:p>
      <w:pPr>
        <w:spacing w:after="200"/>
      </w:pPr>
      <w:r>
        <w:rPr>
          <w:i/>
          <w:color w:val="555555"/>
          <w:sz w:val="18"/>
        </w:rPr>
        <w:t>Facilities Planning Consulting — Robin Owens</w:t>
      </w:r>
    </w:p>
    <w:p>
      <w:pPr>
        <w:spacing w:after="40"/>
      </w:pPr>
      <w:r>
        <w:rPr>
          <w:b/>
          <w:color w:val="B8862E"/>
          <w:sz w:val="16"/>
        </w:rPr>
        <w:t>FRF · PHASE 2 OF 4 · DEFINE THE SCOPE</w:t>
      </w:r>
    </w:p>
    <w:p>
      <w:pPr>
        <w:spacing w:after="40"/>
      </w:pPr>
      <w:r>
        <w:rPr>
          <w:b/>
          <w:color w:val="1F2D3D"/>
          <w:sz w:val="40"/>
        </w:rPr>
        <w:t>Phase 2 Facilitator Guide</w:t>
      </w:r>
    </w:p>
    <w:p>
      <w:pPr>
        <w:spacing w:after="240"/>
      </w:pPr>
      <w:r>
        <w:rPr>
          <w:i/>
          <w:color w:val="B8862E"/>
          <w:sz w:val="24"/>
        </w:rPr>
        <w:t>Define the Scope — Steps &amp; Forms</w:t>
      </w:r>
    </w:p>
    <w:p>
      <w:pPr>
        <w:spacing w:after="160"/>
      </w:pPr>
      <w:r>
        <w:rPr>
          <w:b w:val="0"/>
          <w:i w:val="0"/>
          <w:sz w:val="19"/>
        </w:rPr>
        <w:t>A standalone companion to the Facility Readiness Framework (FRF), for whoever is facilitating this phase on a real project.</w:t>
      </w:r>
    </w:p>
    <w:p>
      <w:pPr>
        <w:spacing w:after="160"/>
      </w:pPr>
      <w:r>
        <w:rPr>
          <w:b w:val="0"/>
          <w:i w:val="0"/>
          <w:sz w:val="21"/>
        </w:rPr>
        <w:t>This is the working document for actually running Phase 2 — Gate 2: Scope Locked — the technical core of the Facility Readiness Framework. It follows the same structure as the Phase 1 Facilitator Guide: a step-by-step walkthrough, then the forms each step produces. It assumes you're already familiar with the framework's overall four-phase structure and that Phase 1 is complete.</w:t>
      </w:r>
    </w:p>
    <w:p>
      <w:pPr>
        <w:spacing w:after="160"/>
      </w:pPr>
      <w:r>
        <w:rPr>
          <w:b w:val="0"/>
          <w:i w:val="0"/>
          <w:sz w:val="21"/>
        </w:rPr>
        <w:t>The real engineering work happens here, in a specific order, across two stages worth keeping mentally separate. Concept Layout (Steps 1-4): operational needs get defined, layout alternatives get modeled, alternatives get reviewed and scored, and a winner gets selected — fast and rough, comparing real alternatives against preliminary estimates. Detailed Layout (Step 5): the selected layout alone goes through detailed operational design — validating and refining it, not just confirming it's plausible. Then everything gets packaged and handed off to design.</w:t>
      </w:r>
    </w:p>
    <w:p>
      <w:pPr>
        <w:spacing w:after="160"/>
      </w:pPr>
      <w:r>
        <w:rPr>
          <w:b w:val="0"/>
          <w:i w:val="0"/>
          <w:sz w:val="21"/>
        </w:rPr>
        <w:t>Gate 2 establishes the Capacity, Layout &amp; Flow Validation elements of the Facility Readiness Score (22 of its 100 points, on top of the 20 Gate 1 already established) — but the score itself is not run until the end of Phase 3, once Phase 3's cost, schedule, risk, and delivery-strategy elements also exist to score. This is a go/no-go decision on the locked scope, not a numeric one.</w:t>
      </w:r>
    </w:p>
    <w:p>
      <w:pPr>
        <w:spacing w:after="160"/>
      </w:pPr>
      <w:r>
        <w:rPr>
          <w:b w:val="0"/>
          <w:i w:val="0"/>
          <w:sz w:val="21"/>
        </w:rPr>
        <w:t>The scorecard's five domains and default weights (summing to 100) reflect Veritas's standard approach. Relationships are rated on a standard SLP triangular relationship chart. The Weighted-Factor Scorecard's Raw/Weighted math lives in a companion Excel workbook (the Phase 2 Weighted Scorecard) with auto-calculating weighted scores — the reference form in this phase's Forms folder is a fixed reference for the domains, criteria, and weights only.</w:t>
      </w:r>
    </w:p>
    <w:p>
      <w:pPr>
        <w:spacing w:before="280" w:after="120"/>
        <w:pBdr>
          <w:bottom w:val="single" w:sz="6" w:space="2" w:color="B8862E"/>
        </w:pBdr>
      </w:pPr>
      <w:r>
        <w:rPr>
          <w:b/>
          <w:color w:val="1F2D3D"/>
          <w:sz w:val="26"/>
        </w:rPr>
        <w:t>Gate 2 at a Glance</w:t>
      </w:r>
    </w:p>
    <w:tbl>
      <w:tblPr>
        <w:tblW w:type="auto" w:w="0"/>
        <w:jc w:val="center"/>
        <w:tblLayout w:type="autofit"/>
        <w:tblLook w:firstColumn="1" w:firstRow="1" w:lastColumn="0" w:lastRow="0" w:noHBand="0" w:noVBand="1" w:val="04A0"/>
      </w:tblPr>
      <w:tblGrid>
        <w:gridCol w:w="4824"/>
        <w:gridCol w:w="4824"/>
      </w:tblGrid>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2</w:t>
            </w:r>
          </w:p>
          <w:p>
            <w:pPr>
              <w:spacing w:after="40"/>
            </w:pPr>
            <w:r>
              <w:rPr>
                <w:b/>
                <w:i w:val="0"/>
                <w:sz w:val="20"/>
              </w:rPr>
              <w:t>Scope Locked  (Non-Compensable Gate)</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ACCOUNTABLE</w:t>
            </w:r>
          </w:p>
          <w:p>
            <w:pPr>
              <w:spacing w:after="40"/>
            </w:pPr>
            <w:r>
              <w:rPr>
                <w:b/>
                <w:i w:val="0"/>
                <w:sz w:val="20"/>
              </w:rPr>
              <w:t>The owner's project lead or facilities director, informed directly by the people who will actually operate the space — not just told about the project after the fact.</w:t>
            </w:r>
          </w:p>
        </w:tc>
      </w:tr>
      <w:tr>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GATE QUESTION</w:t>
            </w:r>
          </w:p>
          <w:p>
            <w:pPr>
              <w:spacing w:after="40"/>
            </w:pPr>
            <w:r>
              <w:rPr>
                <w:b w:val="0"/>
                <w:i w:val="0"/>
                <w:sz w:val="20"/>
              </w:rPr>
              <w:t>Has the operational basis been engineered, documented, and accepted by the people who will operate the facility?</w:t>
            </w:r>
          </w:p>
        </w:tc>
        <w:tc>
          <w:tcPr>
            <w:tcW w:type="dxa" w:w="4824"/>
            <w:shd w:val="clear" w:color="auto" w:fill="F7F7F5"/>
            <w:tcBorders>
              <w:top w:sz="4" w:val="single" w:color="CCCCCC"/>
              <w:left w:sz="4" w:val="single" w:color="CCCCCC"/>
              <w:bottom w:sz="4" w:val="single" w:color="CCCCCC"/>
              <w:right w:sz="4" w:val="single" w:color="CCCCCC"/>
            </w:tcBorders>
          </w:tcPr>
          <w:p>
            <w:pPr>
              <w:spacing w:after="40"/>
            </w:pPr>
            <w:r>
              <w:rPr>
                <w:b/>
                <w:color w:val="B8862E"/>
                <w:sz w:val="16"/>
              </w:rPr>
              <w:t>WHAT ACTUALLY GETS SKIPPED</w:t>
            </w:r>
          </w:p>
          <w:p>
            <w:pPr>
              <w:spacing w:after="40"/>
            </w:pPr>
            <w:r>
              <w:rPr>
                <w:b w:val="0"/>
                <w:i w:val="0"/>
                <w:sz w:val="20"/>
              </w:rPr>
              <w:t>This is the single most common failure point in capital projects. Scope gets "locked" based on a floor plan sketch and a guess at square footage, with no capacity math and no flow analysis behind it. Every dollar spent on design and construction after this point is spent against a guess. Capacity, Layout &amp; Flow Validation is also the framework's one non-compensable category: it must reach Confirmed &amp; Documented in full before Gate 2 can pass, regardless of what the other seven categories eventually score — no combination of scores elsewhere overrides this gate.</w:t>
            </w:r>
          </w:p>
        </w:tc>
      </w:tr>
    </w:tbl>
    <w:p>
      <w:pPr>
        <w:spacing w:after="80"/>
      </w:pPr>
    </w:p>
    <w:p>
      <w:pPr>
        <w:spacing w:before="280" w:after="120"/>
        <w:pBdr>
          <w:bottom w:val="single" w:sz="6" w:space="2" w:color="B8862E"/>
        </w:pBdr>
      </w:pPr>
      <w:r>
        <w:rPr>
          <w:b/>
          <w:color w:val="1F2D3D"/>
          <w:sz w:val="26"/>
        </w:rPr>
        <w:t>How to Run This Phase, Step by Step</w:t>
      </w:r>
    </w:p>
    <w:p>
      <w:pPr>
        <w:spacing w:before="200"/>
      </w:pPr>
      <w:r>
        <w:rPr>
          <w:b/>
          <w:i w:val="0"/>
          <w:sz w:val="22"/>
        </w:rPr>
        <w:t>Step 1 — Define: capture leadership directives, then gather operational needs, then build the high-level package layout work can't start without.</w:t>
      </w:r>
    </w:p>
    <w:p>
      <w:pPr>
        <w:spacing w:after="160"/>
      </w:pPr>
      <w:r>
        <w:rPr>
          <w:b w:val="0"/>
          <w:i w:val="0"/>
          <w:sz w:val="20"/>
        </w:rPr>
        <w:t>Start by capturing executive and leadership directives before diving into operational detail — decisions or constraints stated once, often informally, that become permanent, non-negotiable shapers of the whole project ("no utilities on the floor, all overhead" is a real example). Log every one on the Executive Design Directives &amp; Constraints Log.</w:t>
      </w:r>
    </w:p>
    <w:p>
      <w:pPr>
        <w:spacing w:after="160"/>
      </w:pPr>
      <w:r>
        <w:rPr>
          <w:b w:val="0"/>
          <w:i w:val="0"/>
          <w:sz w:val="20"/>
        </w:rPr>
        <w:t>Then meet with operations leads and department heads and answer five baseline demand questions: what's being produced or handled, how much, what sequence, what supporting services, and what timing. Round it out with equipment and process requirements, quality and regulatory requirements, environmental and utility conditions, and safety and ergonomic requirements. Give Capacity Planning its own explicit, high-level pass here too — current vs. target throughput, equipment/process capacity, where the real bottlenecks are. Open the Capacity Model Worksheet now and record this preliminary read on it directly, not just in narrative form in the Operational Needs Summary — Steps 2-4's block-layout alternatives, and every worksheet below, get sized against this preliminary model, not a guess. The worksheet gets finished in Step 5, once a layout is selected; it starts here.</w:t>
      </w:r>
    </w:p>
    <w:p>
      <w:pPr>
        <w:spacing w:after="160"/>
      </w:pPr>
      <w:r>
        <w:rPr>
          <w:b w:val="0"/>
          <w:i w:val="0"/>
          <w:sz w:val="20"/>
        </w:rPr>
        <w:t>Headcount gets its own dedicated pass too, not a single blended number: project it by department and title, across at least three time horizons (today, Year 1, Year 3-5), on the Headcount Planning Worksheet. This is what sizes parking, cafeteria, circulation, and office space later, and Headcount &amp; Growth Planning is scored as its own element of the Facility Readiness Score — a rough total in the Operational Needs Summary isn't enough on its own.</w:t>
      </w:r>
    </w:p>
    <w:p>
      <w:pPr>
        <w:spacing w:after="160"/>
      </w:pPr>
      <w:r>
        <w:rPr>
          <w:b w:val="0"/>
          <w:i w:val="0"/>
          <w:sz w:val="20"/>
        </w:rPr>
        <w:t>Then build the high-level package layout work depends on: High-Level Flows (site/vehicle circulation plus a rough read on how people and material broadly move) and the classic block-layout triad — the full Activity List (including exterior/site areas), a preliminary Space Requirement for each activity, and a preliminary Relationship Chart rating SLP closeness (A-E-I-O-U-X) between every pair of activities.</w:t>
      </w:r>
    </w:p>
    <w:p>
      <w:pPr>
        <w:spacing w:after="160"/>
      </w:pPr>
      <w:r>
        <w:rPr>
          <w:b w:val="0"/>
          <w:i w:val="0"/>
          <w:sz w:val="20"/>
        </w:rPr>
        <w:t>Before rating relationships, document the required order of operations on the Operating Sequence and Routing Worksheet — two levels, not one. The operating sequence is for layout: the primary sequence, where it branches or loops back, what resources or decisions it shares across processes, how current-state routing differs from where the operation is headed, and what it has to survive under peak or exception conditions, validated by the people who actually run the process. Resource-level routings are for capacity: for each product, service family, or demand stream, which operations or resources it actually visits, in order and how often, under a shared Routing ID — this is what the Capacity Model Worksheet needs to sum load at a shared resource, so capture it now even though the Capacity Model itself doesn't finish until Step 5. Both levels are upstream of the Relationship Chart, the later Flow Analysis, and the Capacity Model — a mandatory sequence is a constraint those then have to accommodate, not a closeness rating, a distance, or a capacity number to be derived independently.</w:t>
      </w:r>
    </w:p>
    <w:p>
      <w:r>
        <w:rPr>
          <w:i/>
          <w:color w:val="1F2D3D"/>
          <w:sz w:val="18"/>
        </w:rPr>
        <w:t>→ Produces: Executive Design Directives &amp; Constraints Log, Operational Needs Summary, Headcount Planning Worksheet, Activity List &amp; Space Requirements Worksheet, Operating Sequence and Routing Worksheet, Relationship Chart Worksheet, Site &amp; Circulation Flow Worksheet, Capacity Model Worksheet (preliminary fields)</w:t>
      </w:r>
    </w:p>
    <w:p>
      <w:pPr>
        <w:spacing w:before="200"/>
      </w:pPr>
      <w:r>
        <w:rPr>
          <w:b/>
          <w:i w:val="0"/>
          <w:sz w:val="22"/>
        </w:rPr>
        <w:t>Step 2 — Model: build real alternatives yourself, from the activity list, space requirements, relationships, and circulation flows.</w:t>
      </w:r>
    </w:p>
    <w:p>
      <w:pPr>
        <w:spacing w:after="160"/>
      </w:pPr>
      <w:r>
        <w:rPr>
          <w:b w:val="0"/>
          <w:i w:val="0"/>
          <w:sz w:val="20"/>
        </w:rPr>
        <w:t>This is typically your own direct work, not something to hand off — build at least two meaningfully different layout alternatives using your own space-planning expertise, drawing directly on Step 1's worksheets, tested against the actual or proposed building and site drawings. If a 3D model is being built, this is where its first pass happens — the architectural shell only; equipment isn't placed yet. Each alternative should address how different vehicle types move on and off the property, not just how the interior blocks fit together.</w:t>
      </w:r>
    </w:p>
    <w:p>
      <w:r>
        <w:rPr>
          <w:i/>
          <w:color w:val="1F2D3D"/>
          <w:sz w:val="18"/>
        </w:rPr>
        <w:t>→ Produces: Block Layout Alternative Summary</w:t>
      </w:r>
    </w:p>
    <w:p>
      <w:pPr>
        <w:spacing w:before="200"/>
      </w:pPr>
      <w:r>
        <w:rPr>
          <w:b/>
          <w:i w:val="0"/>
          <w:sz w:val="22"/>
        </w:rPr>
        <w:t>Step 3 — Review: let stakeholders see real alternatives and react, before anything is locked in.</w:t>
      </w:r>
    </w:p>
    <w:p>
      <w:pPr>
        <w:spacing w:after="160"/>
      </w:pPr>
      <w:r>
        <w:rPr>
          <w:b w:val="0"/>
          <w:i w:val="0"/>
          <w:sz w:val="20"/>
        </w:rPr>
        <w:t>Bring the alternatives to leadership and score them together, in the room, using the Weighted-Factor Scorecard — a defined set of criteria across five domains, not visual preference. Rate each alternative 1-10 on each criterion; the scorecard converts that into a weighted number automatically. Walk the group through each criterion before scoring starts.</w:t>
      </w:r>
    </w:p>
    <w:p>
      <w:r>
        <w:rPr>
          <w:i/>
          <w:color w:val="1F2D3D"/>
          <w:sz w:val="18"/>
        </w:rPr>
        <w:t>→ Produces: Weighted-Factor Scorecard (reference) — score in the companion Excel workbook</w:t>
      </w:r>
    </w:p>
    <w:p>
      <w:pPr>
        <w:spacing w:before="200"/>
      </w:pPr>
      <w:r>
        <w:rPr>
          <w:b/>
          <w:i w:val="0"/>
          <w:sz w:val="22"/>
        </w:rPr>
        <w:t>Step 4 — Select: confirm the winner clearly outscored the runner-up, not just barely.</w:t>
      </w:r>
    </w:p>
    <w:p>
      <w:pPr>
        <w:spacing w:after="160"/>
      </w:pPr>
      <w:r>
        <w:rPr>
          <w:b w:val="0"/>
          <w:i w:val="0"/>
          <w:sz w:val="20"/>
        </w:rPr>
        <w:t>Total each alternative's Weighted score column — that total, out of 100, is the number to compare. A margin under 15% between the winner and the runner-up is a trigger for a sensitivity review — recheck the scoring and the weights before locking in a close call — not a rule that disqualifies a close win; a margin above 15% needs no such review. This step also settles whether the project fits inside an existing building shell or needs a new one.</w:t>
      </w:r>
    </w:p>
    <w:p>
      <w:r>
        <w:rPr>
          <w:i/>
          <w:color w:val="1F2D3D"/>
          <w:sz w:val="18"/>
        </w:rPr>
        <w:t>→ Produces: Selection Decision Record</w:t>
      </w:r>
    </w:p>
    <w:p>
      <w:pPr>
        <w:spacing w:before="200"/>
      </w:pPr>
      <w:r>
        <w:rPr>
          <w:b/>
          <w:i w:val="0"/>
          <w:sz w:val="22"/>
        </w:rPr>
        <w:t>Step 5 — Detail: detailed operational design, on the selected layout only, in service of one goal — a validated layout, not just a workable one.</w:t>
      </w:r>
    </w:p>
    <w:p>
      <w:pPr>
        <w:spacing w:after="160"/>
      </w:pPr>
      <w:r>
        <w:rPr>
          <w:b w:val="0"/>
          <w:i w:val="0"/>
          <w:sz w:val="20"/>
        </w:rPr>
        <w:t>Finish the Capacity Model Worksheet opened back in Step 1. Pull the routings captured on the Operating Sequence and Routing Worksheet by Routing ID rather than re-deriving them, then apply demand, cycle time, takt or demand rate, shifts, utilization, yield, changeovers, and downtime to turn routing into required capacity, tested against expected, peak, and future-growth scenarios — then let that model produce the resulting equipment/workstation counts, staffing by function and shift, storage/staging/support-space needs, material-handling requirements, utility demand, and redundancy or surge capacity, against the layout that actually won in Step 4.</w:t>
      </w:r>
    </w:p>
    <w:p>
      <w:pPr>
        <w:spacing w:after="160"/>
      </w:pPr>
      <w:r>
        <w:rPr>
          <w:b w:val="0"/>
          <w:i w:val="0"/>
          <w:sz w:val="20"/>
        </w:rPr>
        <w:t>Detailed Flow maps interior movement and calculates aggregate travel distance, measured rather than assumed. Space Analysis refines preliminary estimates into full GSF/NSF/OSF/NOSF classification and calculates Equipment Packing Density. Relationships get revisited and refined down to the area level, office and administrative areas included.</w:t>
      </w:r>
    </w:p>
    <w:p>
      <w:pPr>
        <w:spacing w:after="160"/>
      </w:pPr>
      <w:r>
        <w:rPr>
          <w:b w:val="0"/>
          <w:i w:val="0"/>
          <w:sz w:val="20"/>
        </w:rPr>
        <w:t>Once the layout is selected, identify — and quantify where reliable data exists — the operating-cost consequences it locks in: labor, travel and material handling, inventory and WIP, energy, maintenance, internal transportation, lost throughput, and the cost of future expansion or disruption. This isn't a precise annual calculation; a false-precision number this early can do as much damage as skipping it. It's a narrower question than the Weighted-Factor Scorecard's cost criterion, which compared alternatives — this quantifies the consequences of the one actually chosen.</w:t>
      </w:r>
    </w:p>
    <w:p>
      <w:pPr>
        <w:spacing w:after="160"/>
      </w:pPr>
      <w:r>
        <w:rPr>
          <w:b w:val="0"/>
          <w:i w:val="0"/>
          <w:sz w:val="20"/>
        </w:rPr>
        <w:t>A Utility Requirements Summary documents electrical, air, water/drain, and HVAC needs by area. A Detailed 3D Layout adds the actual equipment to the architectural shell from Step 2.</w:t>
      </w:r>
    </w:p>
    <w:p>
      <w:r>
        <w:rPr>
          <w:i/>
          <w:color w:val="1F2D3D"/>
          <w:sz w:val="18"/>
        </w:rPr>
        <w:t>→ Produces: Capacity Model Worksheet, Space &amp; Density Worksheet, Flow &amp; Travel-Distance Tracker, Operating-Cost Impact Worksheet, Utility Requirements Matrix</w:t>
      </w:r>
    </w:p>
    <w:p>
      <w:pPr>
        <w:spacing w:before="200"/>
      </w:pPr>
      <w:r>
        <w:rPr>
          <w:b/>
          <w:i w:val="0"/>
          <w:sz w:val="22"/>
        </w:rPr>
        <w:t>Step 6 — Package: assemble everything into one package, nothing scattered across emails.</w:t>
      </w:r>
    </w:p>
    <w:p>
      <w:pPr>
        <w:spacing w:after="160"/>
      </w:pPr>
      <w:r>
        <w:rPr>
          <w:b w:val="0"/>
          <w:i w:val="0"/>
          <w:sz w:val="20"/>
        </w:rPr>
        <w:t>Bring the block layout plan, relationship study, capacity model worksheet, space and density analysis, flow analysis, operating-cost impact worksheet, utility matrix, and the detailed 3D layout together. Use the Package Checklist to confirm nothing is missing before handoff.</w:t>
      </w:r>
    </w:p>
    <w:p>
      <w:r>
        <w:rPr>
          <w:i/>
          <w:color w:val="1F2D3D"/>
          <w:sz w:val="18"/>
        </w:rPr>
        <w:t>→ Produces: Package Checklist</w:t>
      </w:r>
    </w:p>
    <w:p>
      <w:pPr>
        <w:spacing w:before="200"/>
      </w:pPr>
      <w:r>
        <w:rPr>
          <w:b/>
          <w:i w:val="0"/>
          <w:sz w:val="22"/>
        </w:rPr>
        <w:t>Step 7 — Handoff: deliver a validated plan, not a blank page, and close the gate formally.</w:t>
      </w:r>
    </w:p>
    <w:p>
      <w:pPr>
        <w:spacing w:after="160"/>
      </w:pPr>
      <w:r>
        <w:rPr>
          <w:b w:val="0"/>
          <w:i w:val="0"/>
          <w:sz w:val="20"/>
        </w:rPr>
        <w:t>Before running the gate decision, work through the Gate 2 Evidence Register and confirm all fourteen Phase 2 operational-evidence requirements are Confirmed, each with a named analyst and an operational reviewer's acceptance — this is what actually enforces the non-compensable gate, not a general sense that the work got done. Then run the actual Gate 2 decision with the project lead or facilities director in person — ask the gate question directly and record whatever they decide, even "not yet," on the Gate 2 Decision Record. Only once the gate is formally closed does the concept package go to the architect and MEP engineers — for technical validation, estimating, scheduling, and permitting input ahead of Phase 3, not to start detailed design; that follows Gate 4.</w:t>
      </w:r>
    </w:p>
    <w:p>
      <w:r>
        <w:rPr>
          <w:i/>
          <w:color w:val="1F2D3D"/>
          <w:sz w:val="18"/>
        </w:rPr>
        <w:t>→ Produces: Gate 2 Evidence Register, Gate 2 Decision Record</w:t>
      </w:r>
    </w:p>
    <w:p>
      <w:pPr>
        <w:spacing w:before="280" w:after="120"/>
        <w:pBdr>
          <w:bottom w:val="single" w:sz="6" w:space="2" w:color="B8862E"/>
        </w:pBdr>
      </w:pPr>
      <w:r>
        <w:rPr>
          <w:b/>
          <w:color w:val="1F2D3D"/>
          <w:sz w:val="26"/>
        </w:rPr>
        <w:t>Forms for This Phase</w:t>
      </w:r>
    </w:p>
    <w:p>
      <w:pPr>
        <w:spacing w:after="160"/>
      </w:pPr>
      <w:r>
        <w:rPr>
          <w:b w:val="0"/>
          <w:i w:val="0"/>
          <w:sz w:val="19"/>
        </w:rPr>
        <w:t>Each form below is a separate, standalone document in this phase's Forms folder — fill them in as you go through the steps above.</w:t>
      </w:r>
    </w:p>
    <w:p>
      <w:pPr>
        <w:spacing w:after="60"/>
      </w:pPr>
      <w:r>
        <w:rPr>
          <w:b/>
          <w:sz w:val="19"/>
        </w:rPr>
        <w:t xml:space="preserve">Executive Design Directives &amp; Constraints Log — </w:t>
      </w:r>
      <w:r>
        <w:rPr>
          <w:sz w:val="19"/>
        </w:rPr>
        <w:t>Decisions leadership states once, before they get lost.</w:t>
      </w:r>
    </w:p>
    <w:p>
      <w:pPr>
        <w:spacing w:after="60"/>
      </w:pPr>
      <w:r>
        <w:rPr>
          <w:b/>
          <w:sz w:val="19"/>
        </w:rPr>
        <w:t xml:space="preserve">Operational Needs Summary — </w:t>
      </w:r>
      <w:r>
        <w:rPr>
          <w:sz w:val="19"/>
        </w:rPr>
        <w:t>The five baseline demand questions plus a preliminary capacity read.</w:t>
      </w:r>
    </w:p>
    <w:p>
      <w:pPr>
        <w:spacing w:after="60"/>
      </w:pPr>
      <w:r>
        <w:rPr>
          <w:b/>
          <w:sz w:val="19"/>
        </w:rPr>
        <w:t xml:space="preserve">Headcount Planning Worksheet — </w:t>
      </w:r>
      <w:r>
        <w:rPr>
          <w:sz w:val="19"/>
        </w:rPr>
        <w:t>Headcount by department and title over time, turned into parking, seating, restroom, and cafeteria counts.</w:t>
      </w:r>
    </w:p>
    <w:p>
      <w:pPr>
        <w:spacing w:after="60"/>
      </w:pPr>
      <w:r>
        <w:rPr>
          <w:b/>
          <w:sz w:val="19"/>
        </w:rPr>
        <w:t xml:space="preserve">Activity List &amp; Space Requirements Worksheet — </w:t>
      </w:r>
      <w:r>
        <w:rPr>
          <w:sz w:val="19"/>
        </w:rPr>
        <w:t>Every activity, interior and exterior, with a preliminary space estimate.</w:t>
      </w:r>
    </w:p>
    <w:p>
      <w:pPr>
        <w:spacing w:after="60"/>
      </w:pPr>
      <w:r>
        <w:rPr>
          <w:b/>
          <w:sz w:val="19"/>
        </w:rPr>
        <w:t xml:space="preserve">Operating Sequence and Routing Worksheet — </w:t>
      </w:r>
      <w:r>
        <w:rPr>
          <w:sz w:val="19"/>
        </w:rPr>
        <w:t>The required order of operations for layout, plus resource-level routings by product/service family for capacity — upstream of the Relationship Chart, Flow Analysis, and Capacity Model Worksheet.</w:t>
      </w:r>
    </w:p>
    <w:p>
      <w:pPr>
        <w:spacing w:after="60"/>
      </w:pPr>
      <w:r>
        <w:rPr>
          <w:b/>
          <w:sz w:val="19"/>
        </w:rPr>
        <w:t xml:space="preserve">Relationship Chart Worksheet — </w:t>
      </w:r>
      <w:r>
        <w:rPr>
          <w:sz w:val="19"/>
        </w:rPr>
        <w:t>A-E-I-O-U-X closeness ratings between every pair of activities.</w:t>
      </w:r>
    </w:p>
    <w:p>
      <w:pPr>
        <w:spacing w:after="60"/>
      </w:pPr>
      <w:r>
        <w:rPr>
          <w:b/>
          <w:sz w:val="19"/>
        </w:rPr>
        <w:t xml:space="preserve">Site &amp; Circulation Flow Worksheet — </w:t>
      </w:r>
      <w:r>
        <w:rPr>
          <w:sz w:val="19"/>
        </w:rPr>
        <w:t>Vehicle and site circulation, plus a rough people/material flow read.</w:t>
      </w:r>
    </w:p>
    <w:p>
      <w:pPr>
        <w:spacing w:after="60"/>
      </w:pPr>
      <w:r>
        <w:rPr>
          <w:b/>
          <w:sz w:val="19"/>
        </w:rPr>
        <w:t xml:space="preserve">Block Layout Alternative Summary — </w:t>
      </w:r>
      <w:r>
        <w:rPr>
          <w:sz w:val="19"/>
        </w:rPr>
        <w:t>At least two real alternatives, their logic, strengths, and weaknesses.</w:t>
      </w:r>
    </w:p>
    <w:p>
      <w:pPr>
        <w:spacing w:after="60"/>
      </w:pPr>
      <w:r>
        <w:rPr>
          <w:b/>
          <w:sz w:val="19"/>
        </w:rPr>
        <w:t xml:space="preserve">Weighted-Factor Scorecard (reference) — </w:t>
      </w:r>
      <w:r>
        <w:rPr>
          <w:sz w:val="19"/>
        </w:rPr>
        <w:t>The five-domain scoring criteria; score in the companion workbook.</w:t>
      </w:r>
    </w:p>
    <w:p>
      <w:pPr>
        <w:spacing w:after="60"/>
      </w:pPr>
      <w:r>
        <w:rPr>
          <w:b/>
          <w:sz w:val="19"/>
        </w:rPr>
        <w:t xml:space="preserve">Selection Decision Record — </w:t>
      </w:r>
      <w:r>
        <w:rPr>
          <w:sz w:val="19"/>
        </w:rPr>
        <w:t>Which alternative won, by how much, and why.</w:t>
      </w:r>
    </w:p>
    <w:p>
      <w:pPr>
        <w:spacing w:after="60"/>
      </w:pPr>
      <w:r>
        <w:rPr>
          <w:b/>
          <w:sz w:val="19"/>
        </w:rPr>
        <w:t xml:space="preserve">Capacity Model Worksheet — </w:t>
      </w:r>
      <w:r>
        <w:rPr>
          <w:sz w:val="19"/>
        </w:rPr>
        <w:t>Required vs. demonstrated capacity, staffing, space, and redundancy needs, tested against expected, peak, and future-growth scenarios.</w:t>
      </w:r>
    </w:p>
    <w:p>
      <w:pPr>
        <w:spacing w:after="60"/>
      </w:pPr>
      <w:r>
        <w:rPr>
          <w:b/>
          <w:sz w:val="19"/>
        </w:rPr>
        <w:t xml:space="preserve">Space &amp; Density Worksheet — </w:t>
      </w:r>
      <w:r>
        <w:rPr>
          <w:sz w:val="19"/>
        </w:rPr>
        <w:t>Full GSF/NSF/OSF/NOSF classification and Equipment Packing Density.</w:t>
      </w:r>
    </w:p>
    <w:p>
      <w:pPr>
        <w:spacing w:after="60"/>
      </w:pPr>
      <w:r>
        <w:rPr>
          <w:b/>
          <w:sz w:val="19"/>
        </w:rPr>
        <w:t xml:space="preserve">Flow &amp; Travel-Distance Tracker — </w:t>
      </w:r>
      <w:r>
        <w:rPr>
          <w:sz w:val="19"/>
        </w:rPr>
        <w:t>Quantified interior movement and aggregate travel distance.</w:t>
      </w:r>
    </w:p>
    <w:p>
      <w:pPr>
        <w:spacing w:after="60"/>
      </w:pPr>
      <w:r>
        <w:rPr>
          <w:b/>
          <w:sz w:val="19"/>
        </w:rPr>
        <w:t xml:space="preserve">Operating-Cost Impact Worksheet — </w:t>
      </w:r>
      <w:r>
        <w:rPr>
          <w:sz w:val="19"/>
        </w:rPr>
        <w:t>The labor, travel, inventory, energy, and maintenance costs the selected layout locks in, identified and quantified where reliable data exists.</w:t>
      </w:r>
    </w:p>
    <w:p>
      <w:pPr>
        <w:spacing w:after="60"/>
      </w:pPr>
      <w:r>
        <w:rPr>
          <w:b/>
          <w:sz w:val="19"/>
        </w:rPr>
        <w:t xml:space="preserve">Utility Requirements Matrix — </w:t>
      </w:r>
      <w:r>
        <w:rPr>
          <w:sz w:val="19"/>
        </w:rPr>
        <w:t>Electrical, air, water/drain, and HVAC needs by area.</w:t>
      </w:r>
    </w:p>
    <w:p>
      <w:pPr>
        <w:spacing w:after="60"/>
      </w:pPr>
      <w:r>
        <w:rPr>
          <w:b/>
          <w:sz w:val="19"/>
        </w:rPr>
        <w:t xml:space="preserve">Package Checklist — </w:t>
      </w:r>
      <w:r>
        <w:rPr>
          <w:sz w:val="19"/>
        </w:rPr>
        <w:t>Confirms the full Phase 2 package is complete before handoff.</w:t>
      </w:r>
    </w:p>
    <w:p>
      <w:pPr>
        <w:spacing w:after="60"/>
      </w:pPr>
      <w:r>
        <w:rPr>
          <w:b/>
          <w:sz w:val="19"/>
        </w:rPr>
        <w:t xml:space="preserve">Gate 2 Evidence Register — </w:t>
      </w:r>
      <w:r>
        <w:rPr>
          <w:sz w:val="19"/>
        </w:rPr>
        <w:t>The auditable record of all fourteen Operational Evidence Chain items — what actually enforces the non-compensable gate.</w:t>
      </w:r>
    </w:p>
    <w:p>
      <w:pPr>
        <w:spacing w:after="60"/>
      </w:pPr>
      <w:r>
        <w:rPr>
          <w:b/>
          <w:sz w:val="19"/>
        </w:rPr>
        <w:t xml:space="preserve">Gate 2 Decision Record — </w:t>
      </w:r>
      <w:r>
        <w:rPr>
          <w:sz w:val="19"/>
        </w:rPr>
        <w:t>The artifact that closes Phase 2.</w:t>
      </w:r>
    </w:p>
    <w:p>
      <w:pPr>
        <w:spacing w:before="0" w:after="0"/>
        <w:rPr>
          <w:sz w:val="2"/>
        </w:rPr>
      </w:pPr>
    </w:p>
    <w:sectPr w:rsidR="00FC693F" w:rsidRPr="0006063C" w:rsidSect="00034616">
      <w:footerReference w:type="default" r:id="rId9"/>
      <w:pgSz w:w="12240" w:h="15840"/>
      <w:pgMar w:top="1008" w:right="1296" w:bottom="1008" w:left="1296" w:header="720"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Bdr>
        <w:top w:val="single" w:sz="4" w:space="4" w:color="CCCCCC"/>
      </w:pBdr>
    </w:pPr>
    <w:r/>
    <w:r>
      <w:rPr>
        <w:color w:val="555555"/>
        <w:sz w:val="17"/>
      </w:rPr>
      <w:t>Veritas Concept Engineering  ·  Robin Owens  ·  www.veritasconcept.com</w:t>
    </w:r>
  </w:p>
  <w:p>
    <w:pPr>
      <w:jc w:val="center"/>
    </w:pPr>
    <w:r>
      <w:rPr>
        <w:i/>
        <w:color w:val="555555"/>
        <w:sz w:val="16"/>
      </w:rPr>
      <w:t>Part of the Facility Readiness Framework (FRF) — free for public use. Download, adapt, and use for your own capital-project planning.</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