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b/>
          <w:color w:val="1F2D3D"/>
          <w:sz w:val="20"/>
        </w:rPr>
        <w:t>VERITAS CONCEPT ENGINEERING</w:t>
      </w:r>
    </w:p>
    <w:p>
      <w:pPr>
        <w:spacing w:after="200"/>
      </w:pPr>
      <w:r>
        <w:rPr>
          <w:i/>
          <w:color w:val="555555"/>
          <w:sz w:val="18"/>
        </w:rPr>
        <w:t>Facilities Planning Consulting — Robin Owens</w:t>
      </w:r>
    </w:p>
    <w:p>
      <w:pPr>
        <w:spacing w:after="40"/>
      </w:pPr>
      <w:r>
        <w:rPr>
          <w:b/>
          <w:color w:val="B8862E"/>
          <w:sz w:val="16"/>
        </w:rPr>
        <w:t>FRF · PHASE 2 OF 4 · DEFINE THE SCOPE</w:t>
      </w:r>
    </w:p>
    <w:p>
      <w:pPr>
        <w:spacing w:after="40"/>
      </w:pPr>
      <w:r>
        <w:rPr>
          <w:b/>
          <w:color w:val="1F2D3D"/>
          <w:sz w:val="40"/>
        </w:rPr>
        <w:t>Define the Scope</w:t>
      </w:r>
    </w:p>
    <w:p>
      <w:pPr>
        <w:spacing w:after="240"/>
      </w:pPr>
      <w:r>
        <w:rPr>
          <w:i/>
          <w:color w:val="B8862E"/>
          <w:sz w:val="24"/>
        </w:rPr>
        <w:t>Facility Readiness Framework — Phase 2 of 4</w:t>
      </w:r>
    </w:p>
    <w:p>
      <w:pPr>
        <w:spacing w:after="160"/>
      </w:pPr>
      <w:r>
        <w:rPr>
          <w:b w:val="0"/>
          <w:i w:val="0"/>
          <w:sz w:val="21"/>
        </w:rPr>
        <w:t>The real engineering work happens here, in two stages: Concept Layout (Steps 1-4) builds and compares real alternatives fast and rough; Detailed Layout (Step 5) takes the winner through detailed operational design. This is the phase where a vague idea becomes a scope specific enough to estimate and build against. Capacity, Layout &amp; Flow Validation is the Facility Readiness Score's one non-compensable category — it must reach Confirmed &amp; Documented in full here, regardless of what the other seven categories eventually score.</w:t>
      </w:r>
    </w:p>
    <w:tbl>
      <w:tblPr>
        <w:tblW w:type="auto" w:w="0"/>
        <w:jc w:val="center"/>
        <w:tblLayout w:type="autofit"/>
        <w:tblLook w:firstColumn="1" w:firstRow="1" w:lastColumn="0" w:lastRow="0" w:noHBand="0" w:noVBand="1" w:val="04A0"/>
      </w:tblPr>
      <w:tblGrid>
        <w:gridCol w:w="4824"/>
        <w:gridCol w:w="4824"/>
      </w:tblGrid>
      <w:tr>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GATE 2</w:t>
            </w:r>
          </w:p>
          <w:p>
            <w:pPr>
              <w:spacing w:after="40"/>
            </w:pPr>
            <w:r>
              <w:rPr>
                <w:b/>
                <w:i w:val="0"/>
                <w:sz w:val="20"/>
              </w:rPr>
              <w:t>Scope Locked  (Non-Compensable Gate)</w:t>
            </w:r>
          </w:p>
        </w:tc>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ACCOUNTABLE</w:t>
            </w:r>
          </w:p>
          <w:p>
            <w:pPr>
              <w:spacing w:after="40"/>
            </w:pPr>
            <w:r>
              <w:rPr>
                <w:b/>
                <w:i w:val="0"/>
                <w:sz w:val="20"/>
              </w:rPr>
              <w:t>The owner's project lead or facilities director, informed directly by the people who will operate the space</w:t>
            </w:r>
          </w:p>
        </w:tc>
      </w:tr>
      <w:tr>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GATE QUESTION</w:t>
            </w:r>
          </w:p>
          <w:p>
            <w:pPr>
              <w:spacing w:after="40"/>
            </w:pPr>
            <w:r>
              <w:rPr>
                <w:b w:val="0"/>
                <w:i w:val="0"/>
                <w:sz w:val="20"/>
              </w:rPr>
              <w:t>Has the operational basis been engineered, documented, and accepted by the people who will operate the facility?</w:t>
            </w:r>
          </w:p>
        </w:tc>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WHAT ACTUALLY GETS SKIPPED</w:t>
            </w:r>
          </w:p>
          <w:p>
            <w:pPr>
              <w:spacing w:after="40"/>
            </w:pPr>
            <w:r>
              <w:rPr>
                <w:b w:val="0"/>
                <w:i w:val="0"/>
                <w:sz w:val="20"/>
              </w:rPr>
              <w:t>The single most common failure point in capital projects: scope "locked" on a floor-plan sketch and a guessed square footage, with no capacity math and no flow analysis behind it.</w:t>
            </w:r>
          </w:p>
        </w:tc>
      </w:tr>
    </w:tbl>
    <w:p>
      <w:pPr>
        <w:spacing w:after="80"/>
      </w:pPr>
    </w:p>
    <w:p>
      <w:pPr>
        <w:spacing w:before="280" w:after="120"/>
        <w:pBdr>
          <w:bottom w:val="single" w:sz="6" w:space="2" w:color="B8862E"/>
        </w:pBdr>
      </w:pPr>
      <w:r>
        <w:rPr>
          <w:b/>
          <w:color w:val="1F2D3D"/>
          <w:sz w:val="26"/>
        </w:rPr>
        <w:t>Running the Gate</w:t>
      </w:r>
    </w:p>
    <w:p>
      <w:pPr>
        <w:spacing w:after="160"/>
      </w:pPr>
      <w:r>
        <w:rPr>
          <w:b w:val="0"/>
          <w:i w:val="0"/>
          <w:sz w:val="19"/>
        </w:rPr>
        <w:t>Steps in order, facilitated by you or the owner's project lead. Each form named below is its own standalone document in this phase's Forms folder.</w:t>
      </w:r>
    </w:p>
    <w:p>
      <w:pPr>
        <w:spacing w:before="160" w:after="40"/>
      </w:pPr>
      <w:r>
        <w:rPr>
          <w:b/>
          <w:color w:val="B8862E"/>
        </w:rPr>
        <w:t xml:space="preserve">1.  </w:t>
      </w:r>
      <w:r>
        <w:rPr>
          <w:b/>
          <w:i w:val="0"/>
          <w:sz w:val="22"/>
        </w:rPr>
        <w:t>Define — capture directives, then gather operational needs</w:t>
      </w:r>
    </w:p>
    <w:p>
      <w:pPr>
        <w:spacing w:after="40"/>
        <w:ind w:left="360"/>
      </w:pPr>
      <w:r>
        <w:rPr>
          <w:b w:val="0"/>
          <w:i w:val="0"/>
          <w:sz w:val="20"/>
        </w:rPr>
        <w:t>Log every leadership directive that's stated once and becomes permanent (the Executive Design Directives &amp; Constraints Log). Answer the five baseline demand questions with operations leads. Project headcount by department and title across at least three time horizons — it sizes parking, cafeteria, circulation, and office space later. Open the Capacity Model Worksheet now and record a preliminary throughput/bottleneck read on it directly — every block-layout alternative below gets sized against this, not a guess; the worksheet finishes in Step 5. Document the required order of operations on the Operating Sequence and Routing Worksheet before rating relationships — two levels: an operating sequence for layout (branches, shared resources, current-vs-future-state routing, peak/exception conditions, validated by the people who run the process), and resource-level routings by product/service family for capacity (which resources each line visits, in order and how often, under a Routing ID the Capacity Model Worksheet will reference). Upstream of the Relationship Chart, Flow Analysis, and Capacity Model — not a subset of any of them. Build the Activity List, preliminary space requirements, the Relationship Chart, and the High-Level Flows.</w:t>
      </w:r>
    </w:p>
    <w:p>
      <w:pPr>
        <w:spacing w:after="120"/>
        <w:ind w:left="360"/>
      </w:pPr>
      <w:r>
        <w:rPr>
          <w:i/>
          <w:color w:val="1F2D3D"/>
          <w:sz w:val="18"/>
        </w:rPr>
        <w:t>→ Form: Executive Design Directives &amp; Constraints Log, Operational Needs Summary, Headcount Planning Worksheet, Activity List &amp; Space Requirements, Operating Sequence and Routing Worksheet, Relationship Chart, Site &amp; Circulation Flow, Capacity Model Worksheet (preliminary)</w:t>
      </w:r>
    </w:p>
    <w:p>
      <w:pPr>
        <w:spacing w:before="160" w:after="40"/>
      </w:pPr>
      <w:r>
        <w:rPr>
          <w:b/>
          <w:color w:val="B8862E"/>
        </w:rPr>
        <w:t xml:space="preserve">2.  </w:t>
      </w:r>
      <w:r>
        <w:rPr>
          <w:b/>
          <w:i w:val="0"/>
          <w:sz w:val="22"/>
        </w:rPr>
        <w:t>Model — build real alternatives yourself</w:t>
      </w:r>
    </w:p>
    <w:p>
      <w:pPr>
        <w:spacing w:after="40"/>
        <w:ind w:left="360"/>
      </w:pPr>
      <w:r>
        <w:rPr>
          <w:b w:val="0"/>
          <w:i w:val="0"/>
          <w:sz w:val="20"/>
        </w:rPr>
        <w:t>Build at least two meaningfully different layout alternatives from the Activity List, Relationship Chart, and Site &amp; Circulation Flow Worksheet, tested against the actual or proposed site. Address vehicle circulation for each, not just the interior blocks.</w:t>
      </w:r>
    </w:p>
    <w:p>
      <w:pPr>
        <w:spacing w:after="120"/>
        <w:ind w:left="360"/>
      </w:pPr>
      <w:r>
        <w:rPr>
          <w:i/>
          <w:color w:val="1F2D3D"/>
          <w:sz w:val="18"/>
        </w:rPr>
        <w:t>→ Form: Block Layout Alternative Summary</w:t>
      </w:r>
    </w:p>
    <w:p>
      <w:pPr>
        <w:spacing w:before="160" w:after="40"/>
      </w:pPr>
      <w:r>
        <w:rPr>
          <w:b/>
          <w:color w:val="B8862E"/>
        </w:rPr>
        <w:t xml:space="preserve">3.  </w:t>
      </w:r>
      <w:r>
        <w:rPr>
          <w:b/>
          <w:i w:val="0"/>
          <w:sz w:val="22"/>
        </w:rPr>
        <w:t>Review — let stakeholders see real alternatives and react</w:t>
      </w:r>
    </w:p>
    <w:p>
      <w:pPr>
        <w:spacing w:after="40"/>
        <w:ind w:left="360"/>
      </w:pPr>
      <w:r>
        <w:rPr>
          <w:b w:val="0"/>
          <w:i w:val="0"/>
          <w:sz w:val="20"/>
        </w:rPr>
        <w:t>Score the alternatives together, in the room, using the Weighted-Factor Scorecard across five domains. Walk the group through each criterion before scoring starts.</w:t>
      </w:r>
    </w:p>
    <w:p>
      <w:pPr>
        <w:spacing w:after="120"/>
        <w:ind w:left="360"/>
      </w:pPr>
      <w:r>
        <w:rPr>
          <w:i/>
          <w:color w:val="1F2D3D"/>
          <w:sz w:val="18"/>
        </w:rPr>
        <w:t>→ Form: Weighted-Factor Scorecard</w:t>
      </w:r>
    </w:p>
    <w:p>
      <w:pPr>
        <w:spacing w:before="160" w:after="40"/>
      </w:pPr>
      <w:r>
        <w:rPr>
          <w:b/>
          <w:color w:val="B8862E"/>
        </w:rPr>
        <w:t xml:space="preserve">4.  </w:t>
      </w:r>
      <w:r>
        <w:rPr>
          <w:b/>
          <w:i w:val="0"/>
          <w:sz w:val="22"/>
        </w:rPr>
        <w:t>Select — confirm the winner clearly outscored the runner-up</w:t>
      </w:r>
    </w:p>
    <w:p>
      <w:pPr>
        <w:spacing w:after="40"/>
        <w:ind w:left="360"/>
      </w:pPr>
      <w:r>
        <w:rPr>
          <w:b w:val="0"/>
          <w:i w:val="0"/>
          <w:sz w:val="20"/>
        </w:rPr>
        <w:t>Total each alternative's weighted score. A margin under 15% over the runner-up triggers a sensitivity review of the scoring and weights before locking in the decision — not a rule for disqualifying a close win. Also settles the shell-fit decision.</w:t>
      </w:r>
    </w:p>
    <w:p>
      <w:pPr>
        <w:spacing w:after="120"/>
        <w:ind w:left="360"/>
      </w:pPr>
      <w:r>
        <w:rPr>
          <w:i/>
          <w:color w:val="1F2D3D"/>
          <w:sz w:val="18"/>
        </w:rPr>
        <w:t>→ Form: Selection Decision Record</w:t>
      </w:r>
    </w:p>
    <w:p>
      <w:pPr>
        <w:spacing w:before="160" w:after="40"/>
      </w:pPr>
      <w:r>
        <w:rPr>
          <w:b/>
          <w:color w:val="B8862E"/>
        </w:rPr>
        <w:t xml:space="preserve">5.  </w:t>
      </w:r>
      <w:r>
        <w:rPr>
          <w:b/>
          <w:i w:val="0"/>
          <w:sz w:val="22"/>
        </w:rPr>
        <w:t>Detail — detailed operational design, on the selected layout only</w:t>
      </w:r>
    </w:p>
    <w:p>
      <w:pPr>
        <w:spacing w:after="40"/>
        <w:ind w:left="360"/>
      </w:pPr>
      <w:r>
        <w:rPr>
          <w:b w:val="0"/>
          <w:i w:val="0"/>
          <w:sz w:val="20"/>
        </w:rPr>
        <w:t>Finish the Capacity Model Worksheet opened back in Step 1, applying demand, time, yield, and availability assumptions to the routings already captured on the Operating Sequence and Routing Worksheet (referenced by Routing ID, not re-derived) to validate the preliminary read into a real model (required vs. demonstrated capacity, tested against expected/peak/future-growth scenarios) against the layout that actually won. Then quantified material flow, full GSF/NSF/OSF/NOSF space classification with Equipment Packing Density, refined relationships down to the area level, the operating-cost consequences of the selected layout, a utility requirements summary, and a detailed 3D layout.</w:t>
      </w:r>
    </w:p>
    <w:p>
      <w:pPr>
        <w:spacing w:after="120"/>
        <w:ind w:left="360"/>
      </w:pPr>
      <w:r>
        <w:rPr>
          <w:i/>
          <w:color w:val="1F2D3D"/>
          <w:sz w:val="18"/>
        </w:rPr>
        <w:t>→ Form: Capacity Model (completed), Space &amp; Density, Flow &amp; Travel-Distance Tracker, Operating-Cost Impact, Utility Requirements Matrix</w:t>
      </w:r>
    </w:p>
    <w:p>
      <w:pPr>
        <w:spacing w:before="160" w:after="40"/>
      </w:pPr>
      <w:r>
        <w:rPr>
          <w:b/>
          <w:color w:val="B8862E"/>
        </w:rPr>
        <w:t xml:space="preserve">6.  </w:t>
      </w:r>
      <w:r>
        <w:rPr>
          <w:b/>
          <w:i w:val="0"/>
          <w:sz w:val="22"/>
        </w:rPr>
        <w:t>Package — assemble everything into one package</w:t>
      </w:r>
    </w:p>
    <w:p>
      <w:pPr>
        <w:spacing w:after="40"/>
        <w:ind w:left="360"/>
      </w:pPr>
      <w:r>
        <w:rPr>
          <w:b w:val="0"/>
          <w:i w:val="0"/>
          <w:sz w:val="20"/>
        </w:rPr>
        <w:t>Bring the block layout plan, relationship study, capacity model, space and density analysis, flow analysis, operating-cost impact worksheet, utility matrix, and detailed 3D layout together. Confirm nothing is missing.</w:t>
      </w:r>
    </w:p>
    <w:p>
      <w:pPr>
        <w:spacing w:after="120"/>
        <w:ind w:left="360"/>
      </w:pPr>
      <w:r>
        <w:rPr>
          <w:i/>
          <w:color w:val="1F2D3D"/>
          <w:sz w:val="18"/>
        </w:rPr>
        <w:t>→ Form: Package Checklist</w:t>
      </w:r>
    </w:p>
    <w:p>
      <w:pPr>
        <w:spacing w:before="160" w:after="40"/>
      </w:pPr>
      <w:r>
        <w:rPr>
          <w:b/>
          <w:color w:val="B8862E"/>
        </w:rPr>
        <w:t xml:space="preserve">7.  </w:t>
      </w:r>
      <w:r>
        <w:rPr>
          <w:b/>
          <w:i w:val="0"/>
          <w:sz w:val="22"/>
        </w:rPr>
        <w:t>Handoff — deliver a validated plan and close the gate</w:t>
      </w:r>
    </w:p>
    <w:p>
      <w:pPr>
        <w:spacing w:after="40"/>
        <w:ind w:left="360"/>
      </w:pPr>
      <w:r>
        <w:rPr>
          <w:b w:val="0"/>
          <w:i w:val="0"/>
          <w:sz w:val="20"/>
        </w:rPr>
        <w:t>Confirm all fourteen Operational Evidence Chain items on the Gate 2 Evidence Register, each with a named analyst and operational reviewer's acceptance. Then run the actual Gate 2 decision with the project lead or facilities director in person. Record whatever they decide, even "not yet."</w:t>
      </w:r>
    </w:p>
    <w:p>
      <w:pPr>
        <w:spacing w:after="120"/>
        <w:ind w:left="360"/>
      </w:pPr>
      <w:r>
        <w:rPr>
          <w:i/>
          <w:color w:val="1F2D3D"/>
          <w:sz w:val="18"/>
        </w:rPr>
        <w:t>→ Form: Gate 2 Evidence Register, Gate 2 Decision Record</w:t>
      </w:r>
    </w:p>
    <w:p>
      <w:pPr>
        <w:spacing w:before="280" w:after="120"/>
        <w:pBdr>
          <w:bottom w:val="single" w:sz="6" w:space="2" w:color="B8862E"/>
        </w:pBdr>
      </w:pPr>
      <w:r>
        <w:rPr>
          <w:b/>
          <w:color w:val="1F2D3D"/>
          <w:sz w:val="26"/>
        </w:rPr>
        <w:t>The Forms for This Phase</w:t>
      </w:r>
    </w:p>
    <w:p>
      <w:pPr>
        <w:spacing w:after="60"/>
      </w:pPr>
      <w:r>
        <w:rPr>
          <w:b/>
          <w:sz w:val="19"/>
        </w:rPr>
        <w:t xml:space="preserve">Executive Design Directives &amp; Constraints Log — </w:t>
      </w:r>
      <w:r>
        <w:rPr>
          <w:sz w:val="19"/>
        </w:rPr>
        <w:t>Decisions leadership states once, before they get lost.</w:t>
      </w:r>
    </w:p>
    <w:p>
      <w:pPr>
        <w:spacing w:after="60"/>
      </w:pPr>
      <w:r>
        <w:rPr>
          <w:b/>
          <w:sz w:val="19"/>
        </w:rPr>
        <w:t xml:space="preserve">Operational Needs Summary — </w:t>
      </w:r>
      <w:r>
        <w:rPr>
          <w:sz w:val="19"/>
        </w:rPr>
        <w:t>The five baseline demand questions plus a preliminary capacity read.</w:t>
      </w:r>
    </w:p>
    <w:p>
      <w:pPr>
        <w:spacing w:after="60"/>
      </w:pPr>
      <w:r>
        <w:rPr>
          <w:b/>
          <w:sz w:val="19"/>
        </w:rPr>
        <w:t xml:space="preserve">Headcount Planning Worksheet — </w:t>
      </w:r>
      <w:r>
        <w:rPr>
          <w:sz w:val="19"/>
        </w:rPr>
        <w:t>Headcount by department and title over time, turned into parking, seating, restroom, and cafeteria counts.</w:t>
      </w:r>
    </w:p>
    <w:p>
      <w:pPr>
        <w:spacing w:after="60"/>
      </w:pPr>
      <w:r>
        <w:rPr>
          <w:b/>
          <w:sz w:val="19"/>
        </w:rPr>
        <w:t xml:space="preserve">Activity List &amp; Space Requirements Worksheet — </w:t>
      </w:r>
      <w:r>
        <w:rPr>
          <w:sz w:val="19"/>
        </w:rPr>
        <w:t>Every activity, interior and exterior, with a preliminary space estimate.</w:t>
      </w:r>
    </w:p>
    <w:p>
      <w:pPr>
        <w:spacing w:after="60"/>
      </w:pPr>
      <w:r>
        <w:rPr>
          <w:b/>
          <w:sz w:val="19"/>
        </w:rPr>
        <w:t xml:space="preserve">Operating Sequence and Routing Worksheet — </w:t>
      </w:r>
      <w:r>
        <w:rPr>
          <w:sz w:val="19"/>
        </w:rPr>
        <w:t>The required order of operations for layout, plus resource-level routings by product/service family for capacity — upstream of the Relationship Chart, Flow Analysis, and Capacity Model Worksheet.</w:t>
      </w:r>
    </w:p>
    <w:p>
      <w:pPr>
        <w:spacing w:after="60"/>
      </w:pPr>
      <w:r>
        <w:rPr>
          <w:b/>
          <w:sz w:val="19"/>
        </w:rPr>
        <w:t xml:space="preserve">Relationship Chart Worksheet — </w:t>
      </w:r>
      <w:r>
        <w:rPr>
          <w:sz w:val="19"/>
        </w:rPr>
        <w:t>A-E-I-O-U-X closeness ratings between every pair of activities.</w:t>
      </w:r>
    </w:p>
    <w:p>
      <w:pPr>
        <w:spacing w:after="60"/>
      </w:pPr>
      <w:r>
        <w:rPr>
          <w:b/>
          <w:sz w:val="19"/>
        </w:rPr>
        <w:t xml:space="preserve">Site &amp; Circulation Flow Worksheet — </w:t>
      </w:r>
      <w:r>
        <w:rPr>
          <w:sz w:val="19"/>
        </w:rPr>
        <w:t>Vehicle and site circulation, plus a rough people/material flow read.</w:t>
      </w:r>
    </w:p>
    <w:p>
      <w:pPr>
        <w:spacing w:after="60"/>
      </w:pPr>
      <w:r>
        <w:rPr>
          <w:b/>
          <w:sz w:val="19"/>
        </w:rPr>
        <w:t xml:space="preserve">Block Layout Alternative Summary — </w:t>
      </w:r>
      <w:r>
        <w:rPr>
          <w:sz w:val="19"/>
        </w:rPr>
        <w:t>At least two real alternatives, their logic, strengths, and weaknesses.</w:t>
      </w:r>
    </w:p>
    <w:p>
      <w:pPr>
        <w:spacing w:after="60"/>
      </w:pPr>
      <w:r>
        <w:rPr>
          <w:b/>
          <w:sz w:val="19"/>
        </w:rPr>
        <w:t xml:space="preserve">Weighted-Factor Scorecard (reference) — </w:t>
      </w:r>
      <w:r>
        <w:rPr>
          <w:sz w:val="19"/>
        </w:rPr>
        <w:t>The five-domain scoring criteria; score in the companion workbook.</w:t>
      </w:r>
    </w:p>
    <w:p>
      <w:pPr>
        <w:spacing w:after="60"/>
      </w:pPr>
      <w:r>
        <w:rPr>
          <w:b/>
          <w:sz w:val="19"/>
        </w:rPr>
        <w:t xml:space="preserve">Selection Decision Record — </w:t>
      </w:r>
      <w:r>
        <w:rPr>
          <w:sz w:val="19"/>
        </w:rPr>
        <w:t>Which alternative won, by how much, and why.</w:t>
      </w:r>
    </w:p>
    <w:p>
      <w:pPr>
        <w:spacing w:after="60"/>
      </w:pPr>
      <w:r>
        <w:rPr>
          <w:b/>
          <w:sz w:val="19"/>
        </w:rPr>
        <w:t xml:space="preserve">Capacity Model Worksheet — </w:t>
      </w:r>
      <w:r>
        <w:rPr>
          <w:sz w:val="19"/>
        </w:rPr>
        <w:t>Required vs. demonstrated capacity, staffing, space, and redundancy needs, tested against expected, peak, and future-growth scenarios.</w:t>
      </w:r>
    </w:p>
    <w:p>
      <w:pPr>
        <w:spacing w:after="60"/>
      </w:pPr>
      <w:r>
        <w:rPr>
          <w:b/>
          <w:sz w:val="19"/>
        </w:rPr>
        <w:t xml:space="preserve">Space &amp; Density Worksheet — </w:t>
      </w:r>
      <w:r>
        <w:rPr>
          <w:sz w:val="19"/>
        </w:rPr>
        <w:t>Full GSF/NSF/OSF/NOSF classification and Equipment Packing Density.</w:t>
      </w:r>
    </w:p>
    <w:p>
      <w:pPr>
        <w:spacing w:after="60"/>
      </w:pPr>
      <w:r>
        <w:rPr>
          <w:b/>
          <w:sz w:val="19"/>
        </w:rPr>
        <w:t xml:space="preserve">Flow &amp; Travel-Distance Tracker — </w:t>
      </w:r>
      <w:r>
        <w:rPr>
          <w:sz w:val="19"/>
        </w:rPr>
        <w:t>Quantified interior movement and aggregate travel distance.</w:t>
      </w:r>
    </w:p>
    <w:p>
      <w:pPr>
        <w:spacing w:after="60"/>
      </w:pPr>
      <w:r>
        <w:rPr>
          <w:b/>
          <w:sz w:val="19"/>
        </w:rPr>
        <w:t xml:space="preserve">Operating-Cost Impact Worksheet — </w:t>
      </w:r>
      <w:r>
        <w:rPr>
          <w:sz w:val="19"/>
        </w:rPr>
        <w:t>The labor, travel, inventory, energy, and maintenance costs the selected layout locks in.</w:t>
      </w:r>
    </w:p>
    <w:p>
      <w:pPr>
        <w:spacing w:after="60"/>
      </w:pPr>
      <w:r>
        <w:rPr>
          <w:b/>
          <w:sz w:val="19"/>
        </w:rPr>
        <w:t xml:space="preserve">Utility Requirements Matrix — </w:t>
      </w:r>
      <w:r>
        <w:rPr>
          <w:sz w:val="19"/>
        </w:rPr>
        <w:t>Electrical, air, water/drain, and HVAC needs by area.</w:t>
      </w:r>
    </w:p>
    <w:p>
      <w:pPr>
        <w:spacing w:after="60"/>
      </w:pPr>
      <w:r>
        <w:rPr>
          <w:b/>
          <w:sz w:val="19"/>
        </w:rPr>
        <w:t xml:space="preserve">Package Checklist — </w:t>
      </w:r>
      <w:r>
        <w:rPr>
          <w:sz w:val="19"/>
        </w:rPr>
        <w:t>Confirms the full Phase 2 package is complete before handoff.</w:t>
      </w:r>
    </w:p>
    <w:p>
      <w:pPr>
        <w:spacing w:after="60"/>
      </w:pPr>
      <w:r>
        <w:rPr>
          <w:b/>
          <w:sz w:val="19"/>
        </w:rPr>
        <w:t xml:space="preserve">Gate 2 Evidence Register — </w:t>
      </w:r>
      <w:r>
        <w:rPr>
          <w:sz w:val="19"/>
        </w:rPr>
        <w:t>The auditable record of all fourteen Operational Evidence Chain items — what actually enforces the non-compensable gate.</w:t>
      </w:r>
    </w:p>
    <w:p>
      <w:pPr>
        <w:spacing w:after="60"/>
      </w:pPr>
      <w:r>
        <w:rPr>
          <w:b/>
          <w:sz w:val="19"/>
        </w:rPr>
        <w:t xml:space="preserve">Gate 2 Decision Record — </w:t>
      </w:r>
      <w:r>
        <w:rPr>
          <w:sz w:val="19"/>
        </w:rPr>
        <w:t>The artifact that closes Phase 2. Phase 3 shouldn't start without it.</w:t>
      </w:r>
    </w:p>
    <w:tbl>
      <w:tblPr>
        <w:tblW w:type="auto" w:w="0"/>
        <w:jc w:val="center"/>
        <w:tblLook w:firstColumn="1" w:firstRow="1" w:lastColumn="0" w:lastRow="0" w:noHBand="0" w:noVBand="1" w:val="04A0"/>
      </w:tblPr>
      <w:tblGrid>
        <w:gridCol w:w="9648"/>
      </w:tblGrid>
      <w:tr>
        <w:tc>
          <w:tcPr>
            <w:tcW w:type="dxa" w:w="9648"/>
            <w:shd w:val="clear" w:color="auto" w:fill="FBF4E4"/>
            <w:tcBorders>
              <w:top w:sz="4" w:val="single" w:color="B8862E"/>
              <w:left w:sz="4" w:val="single" w:color="B8862E"/>
              <w:bottom w:sz="4" w:val="single" w:color="B8862E"/>
              <w:right w:sz="4" w:val="single" w:color="B8862E"/>
            </w:tcBorders>
          </w:tcPr>
          <w:p>
            <w:r>
              <w:rPr>
                <w:b w:val="0"/>
                <w:i/>
                <w:sz w:val="19"/>
              </w:rPr>
              <w:t>Phase 2 is non-compensable: a strong business case, a credible budget, or a sound procurement strategy elsewhere cannot offset an operation that hasn't actually been engineered here.</w:t>
            </w:r>
          </w:p>
        </w:tc>
      </w:tr>
    </w:tbl>
    <w:p>
      <w:pPr>
        <w:spacing w:after="80"/>
      </w:pPr>
    </w:p>
    <w:p>
      <w:pPr>
        <w:spacing w:before="0" w:after="0"/>
        <w:rPr>
          <w:sz w:val="2"/>
        </w:rPr>
      </w:pPr>
    </w:p>
    <w:sectPr w:rsidR="00FC693F" w:rsidRPr="0006063C" w:rsidSect="00034616">
      <w:footerReference w:type="default" r:id="rId9"/>
      <w:pgSz w:w="12240" w:h="15840"/>
      <w:pgMar w:top="1008" w:right="1296" w:bottom="1008" w:left="129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CCCCC"/>
      </w:pBdr>
    </w:pPr>
    <w:r/>
    <w:r>
      <w:rPr>
        <w:color w:val="555555"/>
        <w:sz w:val="17"/>
      </w:rPr>
      <w:t>Veritas Concept Engineering  ·  Robin Owens  ·  www.veritasconcept.com</w:t>
    </w:r>
  </w:p>
  <w:p>
    <w:pPr>
      <w:jc w:val="center"/>
    </w:pPr>
    <w:r>
      <w:rPr>
        <w:i/>
        <w:color w:val="555555"/>
        <w:sz w:val="16"/>
      </w:rPr>
      <w:t>Part of the Facility Readiness Framework (FRF) — free for public use. Download, adapt, and use for your own capital-project planning.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