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B5892B"/>
          <w:sz w:val="18"/>
          <w:szCs w:val="18"/>
        </w:rPr>
        <w:t xml:space="preserve">VERITAS CONCEPT ENGINEERING</w:t>
      </w:r>
    </w:p>
    <w:p>
      <w:pPr>
        <w:spacing w:after="200"/>
      </w:pPr>
      <w:r>
        <w:rPr>
          <w:rFonts w:ascii="Calibri" w:cs="Calibri" w:eastAsia="Calibri" w:hAnsi="Calibri"/>
          <w:i/>
          <w:iCs/>
          <w:color w:val="666666"/>
          <w:sz w:val="18"/>
          <w:szCs w:val="18"/>
        </w:rPr>
        <w:t xml:space="preserve">Facilities Planning Consulting — Robin Owens</w:t>
      </w:r>
    </w:p>
    <w:p>
      <w:pPr>
        <w:pStyle w:val="Title"/>
        <w:spacing w:after="100"/>
      </w:pPr>
      <w:r>
        <w:rPr>
          <w:rFonts w:ascii="Calibri" w:cs="Calibri" w:eastAsia="Calibri" w:hAnsi="Calibri"/>
          <w:b/>
          <w:bCs/>
          <w:color w:val="1F3864"/>
          <w:sz w:val="40"/>
          <w:szCs w:val="40"/>
        </w:rPr>
        <w:t>FRF Phase 2 — Worked Example</w:t>
      </w:r>
    </w:p>
    <w:p>
      <w:pPr>
        <w:spacing w:after="300"/>
      </w:pPr>
      <w:r>
        <w:rPr>
          <w:rFonts w:ascii="Calibri" w:cs="Calibri" w:eastAsia="Calibri" w:hAnsi="Calibri"/>
          <w:i/>
          <w:iCs/>
          <w:color w:val="555555"/>
          <w:sz w:val="22"/>
          <w:szCs w:val="22"/>
        </w:rPr>
        <w:t>Illustrative sample data for 14 of this phase's 18 forms — Steps 1 through 7, Define through Handoff. (Headcount Planning Worksheet, Operating Sequence and Routing Worksheet, Operating-Cost Impact Worksheet, and the Gate 2 Evidence Register aren't walked through in this scenario; see those forms directly for what they require.)</w:t>
      </w:r>
    </w:p>
    <w:p>
      <w:pPr>
        <w:spacing w:after="160" w:line="276"/>
      </w:pPr>
      <w:r>
        <w:rPr>
          <w:rFonts w:ascii="Calibri" w:cs="Calibri" w:eastAsia="Calibri" w:hAnsi="Calibri"/>
          <w:color w:val="222222"/>
          <w:sz w:val="21"/>
          <w:szCs w:val="21"/>
        </w:rPr>
        <w:t>This shows what Phase 2 — Define the Scope — looks like filled in, not blank, across all seven steps. The scenario is fictional — a made-up electronics contract manufacturer expanding an SMT assembly and test line — built to show how the numbers, wording, and level of detail should flow from one template to the next: Step 1 (Define) captures what leadership has already decided and what the operation needs, building the block-layout triad — the Activity List, Relationship Chart, and Site &amp; Circulation Flow Worksheet — plus a preliminary capacity read; Step 2 (Model) turns that into real, competing layout alternatives; Steps 3-4 (Review, Select) score them and pick a winner; Step 5 (Detail) runs the winner alone through exact capacity, flow, space, relationship, and utility analysis; and Steps 6-7 (Package, Handoff) assemble and deliver the result. Sample answers are shown in navy to distinguish them from the actual blank Facilitator Guide.</w:t>
      </w:r>
    </w:p>
    <w:p>
      <w:pPr>
        <w:spacing w:after="160" w:line="276"/>
      </w:pPr>
      <w:r>
        <w:rPr>
          <w:rFonts w:ascii="Calibri" w:cs="Calibri" w:eastAsia="Calibri" w:hAnsi="Calibri"/>
          <w:color w:val="222222"/>
          <w:sz w:val="21"/>
          <w:szCs w:val="21"/>
        </w:rPr>
        <w:t>Notice how the templates connect, and how none of them stop at the building's walls. The Activity List includes exterior areas and small standalone structures — employee and visitor parking, a truck court, motorcycle parking, a guard/security building, a trash enclosure, even stormwater and pump-house infrastructure — right alongside interior areas like the SMT lines. The Relationship Chart then rates how those exterior areas relate to the interior ones (the guard building to visitor parking, the truck court to shipping), and the Site &amp; Circulation Flow Worksheet spells out every distinct type of vehicle the site has to handle and which of the site's gates each one uses — so entrance design (how many gates, and what each is dedicated to) is a stated decision, not an afterthought — plus a rough people/material flow reading: which entrance employees and visitors use and where they head first, and the general path material takes from receiving to shipping. Note what's deliberately NOT here: the exact procedure someone follows once inside — how badge-in, locker room, gowning, and security screening actually get performed, step by step — stays out of FRF at every level; that's the operation's own SOP, below even Step 5's detailed operational design (internal flow analysis, space analysis including EPD, lower-level relationships, and a utility requirements summary). But the required order those steps happen in — badge-in before gowning, gowning before floor access, say — is a layout-affecting mandatory sequence, not a procedure, and it belongs on the Operating Sequence and Routing Worksheet, captured alongside the Activity List in Step 1: which steps are mandatory versus preferred, why, and what it implies for adjacency. Rating those areas tightly related on the Relationship Chart still matters, but the Operating Sequence and Routing Worksheet is what actually establishes and enforces the order, not an inference from the chart. That's the point of doing Step 1 this way — Step 2's layout work, inside and outside the building, gets built directly from these worksheets, not from a fresh guess.</w:t>
      </w:r>
    </w:p>
    <w:p>
      <w:pPr>
        <w:spacing w:after="80" w:before="260"/>
      </w:pPr>
      <w:r>
        <w:rPr>
          <w:rFonts w:ascii="Calibri" w:cs="Calibri" w:eastAsia="Calibri" w:hAnsi="Calibri"/>
          <w:b/>
          <w:bCs/>
          <w:color w:val="1F3864"/>
          <w:sz w:val="23"/>
          <w:szCs w:val="23"/>
        </w:rPr>
        <w:t xml:space="preserve">1. Executive Design Directives &amp; Constraints Log — filled example</w:t>
      </w:r>
    </w:p>
    <w:p>
      <w:pPr>
        <w:spacing w:after="140" w:line="264"/>
      </w:pPr>
      <w:r>
        <w:rPr>
          <w:rFonts w:ascii="Calibri" w:cs="Calibri" w:eastAsia="Calibri" w:hAnsi="Calibri"/>
          <w:i/>
          <w:iCs/>
          <w:color w:val="666666"/>
          <w:sz w:val="18"/>
          <w:szCs w:val="18"/>
        </w:rPr>
        <w:t xml:space="preserve">Five different directives, five different categories — this is the range the log is built to hold. Notice "Addressed Where" always names a specific downstream template, not just "noted."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1000"/>
        <w:gridCol w:w="1300"/>
        <w:gridCol w:w="1800"/>
        <w:gridCol w:w="1500"/>
        <w:gridCol w:w="1200"/>
      </w:tblGrid>
      <w:tr>
        <w:trPr>
          <w:cantSplit/>
          <w:tblHeader/>
        </w:trPr>
        <w:tc>
          <w:tcPr>
            <w:tcW w:type="dxa" w:w="22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Directive / Requirement</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Source</w:t>
            </w:r>
          </w:p>
        </w:tc>
        <w:tc>
          <w:tcPr>
            <w:tcW w:type="dxa" w:w="13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Category</w:t>
            </w:r>
          </w:p>
        </w:tc>
        <w:tc>
          <w:tcPr>
            <w:tcW w:type="dxa" w:w="18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Business Rationale</w:t>
            </w:r>
          </w:p>
        </w:tc>
        <w:tc>
          <w:tcPr>
            <w:tcW w:type="dxa" w:w="15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Addressed Where</w:t>
            </w:r>
          </w:p>
        </w:tc>
        <w:tc>
          <w:tcPr>
            <w:tcW w:type="dxa" w:w="12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Status</w:t>
            </w:r>
          </w:p>
        </w:tc>
      </w:tr>
      <w:tr>
        <w:trPr>
          <w:cantSplit/>
        </w:trPr>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 utilities on the production floor — all utilities overhead, dropped down where needed</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COO</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Utility &amp; Infrastructure Strategy</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Flexibility to reconfigure SMT/assembly lines as product mix changes, without floor rework</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Utility Requirements Matrix (every row); Block Layout Alternative Summary (ceiling height / clear span)</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Captured — pending confirmation against selected layout</w:t>
            </w:r>
          </w:p>
        </w:tc>
      </w:tr>
      <w:tr>
        <w:trPr>
          <w:cantSplit/>
        </w:trPr>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Facility must support 50% capacity growth without a building addition</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CEO</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Flexibility &amp; Future Adaptability</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Avoid a second capital project within 5 years</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Weighted-Factor Scorecard (Future Flexibility domain); Activity List &amp; Space Requirements Worksheet (space allowances)</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Built into both alternatives</w:t>
            </w:r>
          </w:p>
        </w:tc>
      </w:tr>
      <w:tr>
        <w:trPr>
          <w:cantSplit/>
        </w:trPr>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 permanent walls between SMT floor and hand-assembly — must stay open and reconfigurable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VP Operations</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Flexibility &amp; Future Adaptability</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Product mix shifts quarterly; walls would lock in a layout that goes stale fast</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Block Layout Alternative Summary (layout logic)</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Captured</w:t>
            </w:r>
          </w:p>
        </w:tc>
      </w:tr>
      <w:tr>
        <w:trPr>
          <w:cantSplit/>
        </w:trPr>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Visitor/customer tour path must pass the SMT floor without requiring gowning</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VP Sales</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Brand, Image &amp; Visitor Experience</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floor is the key differentiator shown on customer visits</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Block Layout Alternative Summary; Relationship Chart (visitor path adjacency)</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Captured</w:t>
            </w:r>
          </w:p>
        </w:tc>
      </w:tr>
      <w:tr>
        <w:trPr>
          <w:cantSplit/>
        </w:trPr>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Roof must be solar-ready even if panels aren't installed this phase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CEO</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Sustainability &amp; ESG</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Public ESG commitment made to investors</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Operational Needs Summary (Equipment &amp; Process Requirements); Block Layout Alternative Summary (structural note)</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Captured</w:t>
            </w:r>
          </w:p>
        </w:tc>
      </w:tr>
    </w:tbl>
    <w:p>
      <w:pPr>
        <w:spacing w:after="80" w:before="260"/>
      </w:pPr>
      <w:r>
        <w:rPr>
          <w:rFonts w:ascii="Calibri" w:cs="Calibri" w:eastAsia="Calibri" w:hAnsi="Calibri"/>
          <w:b/>
          <w:bCs/>
          <w:color w:val="1F3864"/>
          <w:sz w:val="23"/>
          <w:szCs w:val="23"/>
        </w:rPr>
        <w:t xml:space="preserve">2. Operational Needs Summary — filled example</w:t>
      </w:r>
    </w:p>
    <w:p>
      <w:pPr>
        <w:spacing w:after="140" w:line="264"/>
      </w:pPr>
      <w:r>
        <w:rPr>
          <w:rFonts w:ascii="Calibri" w:cs="Calibri" w:eastAsia="Calibri" w:hAnsi="Calibri"/>
          <w:i/>
          <w:iCs/>
          <w:color w:val="666666"/>
          <w:sz w:val="18"/>
          <w:szCs w:val="18"/>
        </w:rPr>
        <w:t xml:space="preserve">Fictional scenario: SMT Assembly &amp; Test Line Expansion, Building 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Project / Initiative Name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SMT Assembly &amp; Test Line Expansion — Building 2</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Product(s) / Service(s) Handled</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Contract-manufactured printed circuit board assemblies (SMT) for industrial controls customers — 4 active product families, 2 more in qualification</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Quantity / Volume</w:t>
            </w:r>
          </w:p>
        </w:tc>
        <w:tc>
          <w:tcPr>
            <w:tcW w:type="dxa" w:w="6300"/>
            <w:tcMar>
              <w:top w:type="dxa" w:w="100"/>
              <w:left w:type="dxa" w:w="120"/>
              <w:bottom w:type="dxa" w:w="100"/>
              <w:right w:type="dxa" w:w="120"/>
            </w:tcMar>
            <w:vAlign w:val="top"/>
          </w:tcPr>
          <w:p>
            <w:pPr>
              <w:spacing w:after="60" w:line="276"/>
            </w:pPr>
            <w:r>
              <w:rPr>
                <w:rFonts w:ascii="Calibri" w:cs="Calibri" w:eastAsia="Calibri" w:hAnsi="Calibri"/>
                <w:color w:val="1F3864"/>
                <w:sz w:val="20"/>
                <w:szCs w:val="20"/>
              </w:rPr>
              <w:t xml:space="preserve">Current: 38,000 boards/month</w:t>
            </w:r>
          </w:p>
          <w:p>
            <w:pPr>
              <w:spacing w:after="60" w:line="276"/>
            </w:pPr>
            <w:r>
              <w:rPr>
                <w:rFonts w:ascii="Calibri" w:cs="Calibri" w:eastAsia="Calibri" w:hAnsi="Calibri"/>
                <w:color w:val="1F3864"/>
                <w:sz w:val="20"/>
                <w:szCs w:val="20"/>
              </w:rPr>
              <w:t xml:space="preserve">Year 1 target: 55,000 boards/month</w:t>
            </w:r>
          </w:p>
          <w:p>
            <w:pPr>
              <w:spacing w:after="0" w:line="276"/>
            </w:pPr>
            <w:r>
              <w:rPr>
                <w:rFonts w:ascii="Calibri" w:cs="Calibri" w:eastAsia="Calibri" w:hAnsi="Calibri"/>
                <w:color w:val="1F3864"/>
                <w:sz w:val="20"/>
                <w:szCs w:val="20"/>
              </w:rPr>
              <w:t xml:space="preserve">Year 3-5 target: 80,000 boards/month</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Routing / Process Sequence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Kitting → SMT placement (2 existing lines) → reflow → AOI inspection → hand assembly (through-hole) → functional test → conformal coat (select boards only) → final QC → pack/ship</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Supporting Services Needed — maintenance, quality, shipping/receiving, etc.</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Component kitting/staging, ESD-controlled assembly stations, functional test lab, calibration lab, maintenance/spares, IT/MES terminals at each line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Timing / Shift Pattern</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Currently 2 shifts × 5 days; moving to 3 shifts × 6 days once Year 1 volume is reached</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Capacity Planning — current vs. target throughput, equipment/process capacity, known bottlenecks (called out on its own, not just folded into Quantity)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Existing SMT Line 2 running at 88% utilization on 2nd shift already. Reaching the 55,000/mo Year 1 target requires a 3rd SMT placement line. Secondary bottleneck: functional test — average queue time 45 min at peak, will worsen as volume grows unless test capacity is added alongside SMT.</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Equipment &amp; Process Requirements — what the operation needs to run</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1 additional SMT placement line (pick-and-place, stencil printer, reflow oven — combined footprint ≈1,800 SF incl. service clearance); 4 additional functional test stations; AOI system upgrade to keep pace with the 3rd line</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Quality &amp; Regulatory Requirements Specific to This Operation</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ISO 9001; IPC-A-610 Class 2/3 workmanship standards; full lot traceability; ESD program compliance to ANSI/ESD S20.20</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Environmental &amp; Utility Conditions Required — temperature, humidity, cleanliness, power quality, etc.</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ESD flooring and grounding throughout SMT and hand-assembly areas; humidity held 30-60% RH in SMT/reflow zones; filtered, regulated compressed air at each pick-and-place; dedicated 208V/3-phase drops for reflow ovens</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Safety &amp; Ergonomic Requirements</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Adjustable-height assembly stations to support multi-shift, multi-body-type use; solder fume extraction at every hand-assembly and rework station; lifting assist for reel/spool handling at kitting</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Headcount by Department — Today / Year 1 / Year 3-5</w:t>
            </w:r>
          </w:p>
        </w:tc>
        <w:tc>
          <w:tcPr>
            <w:tcW w:type="dxa" w:w="6300"/>
            <w:tcMar>
              <w:top w:type="dxa" w:w="100"/>
              <w:left w:type="dxa" w:w="120"/>
              <w:bottom w:type="dxa" w:w="100"/>
              <w:right w:type="dxa" w:w="120"/>
            </w:tcMar>
            <w:vAlign w:val="top"/>
          </w:tcPr>
          <w:p>
            <w:pPr>
              <w:spacing w:after="60" w:line="276"/>
            </w:pPr>
            <w:r>
              <w:rPr>
                <w:rFonts w:ascii="Calibri" w:cs="Calibri" w:eastAsia="Calibri" w:hAnsi="Calibri"/>
                <w:color w:val="1F3864"/>
                <w:sz w:val="20"/>
                <w:szCs w:val="20"/>
              </w:rPr>
              <w:t xml:space="preserve">SMT Operators: 6 / 9 / 12</w:t>
            </w:r>
          </w:p>
          <w:p>
            <w:pPr>
              <w:spacing w:after="60" w:line="276"/>
            </w:pPr>
            <w:r>
              <w:rPr>
                <w:rFonts w:ascii="Calibri" w:cs="Calibri" w:eastAsia="Calibri" w:hAnsi="Calibri"/>
                <w:color w:val="1F3864"/>
                <w:sz w:val="20"/>
                <w:szCs w:val="20"/>
              </w:rPr>
              <w:t xml:space="preserve">Assembly &amp; Test Technicians: 14 / 20 / 28</w:t>
            </w:r>
          </w:p>
          <w:p>
            <w:pPr>
              <w:spacing w:after="0" w:line="276"/>
            </w:pPr>
            <w:r>
              <w:rPr>
                <w:rFonts w:ascii="Calibri" w:cs="Calibri" w:eastAsia="Calibri" w:hAnsi="Calibri"/>
                <w:color w:val="1F3864"/>
                <w:sz w:val="20"/>
                <w:szCs w:val="20"/>
              </w:rPr>
              <w:t xml:space="preserve">Quality Inspectors: 3 / 4 / 6</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High-Level Space Needs (conceptual only)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≈3,000 SF for the new SMT line, ≈1,200 SF test lab expansion, ≈500 SF kitting area growth — refined into a real number on the Activity List &amp; Space Requirements Worksheet below</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High-Level Relationship Notes (conceptual only)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New SMT line must sit next to kitting and reflow; test lab needs to be near hand-assembly but physically separated from the SMT floor for ESD and vibration control</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High-Level Flow Notes (conceptual only)</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Kitting → SMT → hand assembly → test → pack is meant to run one-directional; minimize WIP travel back and forth between SMT and test specifically</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Prepared By / 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color w:val="1F3864"/>
                <w:sz w:val="20"/>
                <w:szCs w:val="20"/>
              </w:rPr>
              <w:t xml:space="preserve">R. Owens, Veritas Concept Engineering / [date]</w:t>
            </w:r>
          </w:p>
        </w:tc>
      </w:tr>
    </w:tbl>
    <w:p>
      <w:pPr>
        <w:spacing w:after="80" w:before="260"/>
      </w:pPr>
      <w:r>
        <w:rPr>
          <w:rFonts w:ascii="Calibri" w:cs="Calibri" w:eastAsia="Calibri" w:hAnsi="Calibri"/>
          <w:b/>
          <w:bCs/>
          <w:color w:val="1F3864"/>
          <w:sz w:val="23"/>
          <w:szCs w:val="23"/>
        </w:rPr>
        <w:t xml:space="preserve">3. Activity List &amp; Space Requirements Worksheet — filled example</w:t>
      </w:r>
    </w:p>
    <w:p>
      <w:pPr>
        <w:spacing w:after="140" w:line="264"/>
      </w:pPr>
      <w:r>
        <w:rPr>
          <w:rFonts w:ascii="Calibri" w:cs="Calibri" w:eastAsia="Calibri" w:hAnsi="Calibri"/>
          <w:i/>
          <w:iCs/>
          <w:color w:val="666666"/>
          <w:sz w:val="18"/>
          <w:szCs w:val="18"/>
        </w:rPr>
        <w:t xml:space="preserve">Every activity/area that will exist once the expansion is built, each with a preliminary space number and the basis for that number — existing footprint, a vendor spec, or a stations-times-SF calculation. The last seven rows are exterior/site areas and small standalone structures, not interior rooms — parking, a truck court, a guard building, a trash enclosure, and stormwater/pump-house infrastructure, each sized the same rigorous way as any interior area.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3200"/>
        <w:gridCol w:w="1600"/>
        <w:gridCol w:w="1600"/>
      </w:tblGrid>
      <w:tr>
        <w:trPr>
          <w:cantSplit/>
          <w:tblHeader/>
        </w:trPr>
        <w:tc>
          <w:tcPr>
            <w:tcW w:type="dxa" w:w="26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Activity / Area</w:t>
            </w:r>
          </w:p>
        </w:tc>
        <w:tc>
          <w:tcPr>
            <w:tcW w:type="dxa" w:w="32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Description</w:t>
            </w:r>
          </w:p>
        </w:tc>
        <w:tc>
          <w:tcPr>
            <w:tcW w:type="dxa" w:w="16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Prelim. Space Est. (SF)</w:t>
            </w:r>
          </w:p>
        </w:tc>
        <w:tc>
          <w:tcPr>
            <w:tcW w:type="dxa" w:w="16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Basis for Estimate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Component kitting, reel storage, staging for SMT</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+ 20% growth allowance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1</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Existing pick-and-place, printer, reflow oven</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1,700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unchanged</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2</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Existing pick-and-place, printer, reflow oven</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1,700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unchanged</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3 (New)</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New pick-and-place, printer, reflow oven</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1,800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Vendor equipment spec + service clearance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Reflow / AOI Inspection</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Post-reflow automated optical inspection</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no change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Manual through-hole insertion &amp; rework</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2,200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20 stations × 90 SF + aisle allowance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 ICT test stations</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1,800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 stations (8 current + 4 new) × 120 SF + bench space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Calibration Lab</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Test equipment calibration, temp-controlled</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no change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Conformal Coating</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Selective coating booth &amp; cure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350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no change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Final QC / Pack</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Final inspection, packaging, labeling</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no change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Shipping</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Outbound staging &amp; dock</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450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no change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Maintenance / Spares</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Equipment repair, spare parts storage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Current footprint, no change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Parking Lot</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Surface parking for staff</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8,000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45 spaces × ~180 SF/space incl. drive aisles</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Visitor Parking</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Surface parking near main entrance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 spaces × ~200 SF/space incl. drive aisle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Court / Shipping Yard</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Trailer staging &amp; maneuvering apron</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6,500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 dock positions + turning radius per vendor truck spec</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Motorcycle Parking</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Covered motorcycle/scooter parking near employee entrance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150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 spaces × 15 SF/space</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Guard / Security Building</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Gatehouse for visitor check-in &amp; badge issuance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Standard prefab guardhouse footprint</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Trash &amp; Recycling Enclosure</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Screened dumpster &amp; compactor corral</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 compactors + recycling totes, per waste hauler spec</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Water Infrastructure (Detention Pond &amp; Pump House)</w:t>
            </w:r>
          </w:p>
        </w:tc>
        <w:tc>
          <w:tcPr>
            <w:tcW w:type="dxa" w:w="3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Stormwater detention + fire pump house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2,200</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Civil engineer's preliminary stormwater calc + fire code pump room minimum</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bCs/>
                <w:i w:val="false"/>
                <w:iCs w:val="false"/>
                <w:color w:val="222222"/>
                <w:sz w:val="18"/>
                <w:szCs w:val="18"/>
              </w:rPr>
              <w:t xml:space="preserve">TOTAL</w:t>
            </w:r>
          </w:p>
        </w:tc>
        <w:tc>
          <w:tcPr>
            <w:tcW w:type="dxa" w:w="3200"/>
            <w:tcMar>
              <w:top w:type="dxa" w:w="100"/>
              <w:left w:type="dxa" w:w="120"/>
              <w:bottom w:type="dxa" w:w="100"/>
              <w:right w:type="dxa" w:w="120"/>
            </w:tcMar>
            <w:vAlign w:val="center"/>
          </w:tcPr>
          <w:p>
            <w:pPr>
              <w:spacing w:after="0"/>
            </w:pPr>
            <w:r>
              <w:rPr>
                <w:rFonts w:ascii="Calibri" w:cs="Calibri" w:eastAsia="Calibri" w:hAnsi="Calibri"/>
                <w:b/>
                <w:bCs/>
                <w:i w:val="false"/>
                <w:iCs w:val="false"/>
                <w:color w:val="222222"/>
                <w:sz w:val="18"/>
                <w:szCs w:val="18"/>
              </w:rPr>
              <w:t xml:space="preserve"/>
            </w:r>
          </w:p>
        </w:tc>
        <w:tc>
          <w:tcPr>
            <w:tcW w:type="dxa" w:w="1600"/>
            <w:tcMar>
              <w:top w:type="dxa" w:w="100"/>
              <w:left w:type="dxa" w:w="120"/>
              <w:bottom w:type="dxa" w:w="100"/>
              <w:right w:type="dxa" w:w="120"/>
            </w:tcMar>
            <w:vAlign w:val="center"/>
          </w:tcPr>
          <w:p>
            <w:pPr>
              <w:spacing w:after="0"/>
            </w:pPr>
            <w:r>
              <w:rPr>
                <w:rFonts w:ascii="Calibri" w:cs="Calibri" w:eastAsia="Calibri" w:hAnsi="Calibri"/>
                <w:b/>
                <w:bCs/>
                <w:i w:val="false"/>
                <w:iCs w:val="false"/>
                <w:color w:val="222222"/>
                <w:sz w:val="18"/>
                <w:szCs w:val="18"/>
              </w:rPr>
              <w:t xml:space="preserve">31,270</w:t>
            </w:r>
          </w:p>
        </w:tc>
        <w:tc>
          <w:tcPr>
            <w:tcW w:type="dxa" w:w="1600"/>
            <w:tcMar>
              <w:top w:type="dxa" w:w="100"/>
              <w:left w:type="dxa" w:w="120"/>
              <w:bottom w:type="dxa" w:w="100"/>
              <w:right w:type="dxa" w:w="120"/>
            </w:tcMar>
            <w:vAlign w:val="center"/>
          </w:tcPr>
          <w:p>
            <w:pPr>
              <w:spacing w:after="0"/>
            </w:pPr>
            <w:r>
              <w:rPr>
                <w:rFonts w:ascii="Calibri" w:cs="Calibri" w:eastAsia="Calibri" w:hAnsi="Calibri"/>
                <w:b/>
                <w:bCs/>
                <w:i w:val="false"/>
                <w:iCs w:val="false"/>
                <w:color w:val="222222"/>
                <w:sz w:val="18"/>
                <w:szCs w:val="18"/>
              </w:rPr>
              <w:t xml:space="preserve"/>
            </w:r>
          </w:p>
        </w:tc>
      </w:tr>
    </w:tbl>
    <w:p>
      <w:pPr>
        <w:spacing w:after="80" w:before="260"/>
      </w:pPr>
      <w:r>
        <w:rPr>
          <w:rFonts w:ascii="Calibri" w:cs="Calibri" w:eastAsia="Calibri" w:hAnsi="Calibri"/>
          <w:b/>
          <w:bCs/>
          <w:color w:val="1F3864"/>
          <w:sz w:val="23"/>
          <w:szCs w:val="23"/>
        </w:rPr>
        <w:t xml:space="preserve">4. Relationship Chart Worksheet — filled example</w:t>
      </w:r>
    </w:p>
    <w:p>
      <w:pPr>
        <w:spacing w:after="140" w:line="264"/>
      </w:pPr>
      <w:r>
        <w:rPr>
          <w:rFonts w:ascii="Calibri" w:cs="Calibri" w:eastAsia="Calibri" w:hAnsi="Calibri"/>
          <w:i/>
          <w:iCs/>
          <w:color w:val="666666"/>
          <w:sz w:val="18"/>
          <w:szCs w:val="18"/>
        </w:rPr>
        <w:t xml:space="preserve">A sample of pairs, not all possible pairs for this many areas — in practice you'd rate every pair, but the highest-value ones to get right are the A's and the X's, shown here. The last several rows show interior-to-exterior relationships — the guard building to the parking lots, the truck court to shipping — which are just as real as any interior-to-interior pair.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3600"/>
        <w:gridCol w:w="4500"/>
      </w:tblGrid>
      <w:tr>
        <w:trPr>
          <w:cantSplit/>
          <w:tblHeader/>
        </w:trPr>
        <w:tc>
          <w:tcPr>
            <w:tcW w:type="dxa" w:w="9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Rating</w:t>
            </w:r>
          </w:p>
        </w:tc>
        <w:tc>
          <w:tcPr>
            <w:tcW w:type="dxa" w:w="36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Meaning</w:t>
            </w:r>
          </w:p>
        </w:tc>
        <w:tc>
          <w:tcPr>
            <w:tcW w:type="dxa" w:w="45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Typical Reason</w:t>
            </w:r>
          </w:p>
        </w:tc>
      </w:tr>
      <w:tr>
        <w:trPr>
          <w:cantSplit/>
        </w:trPr>
        <w:tc>
          <w:tcPr>
            <w:tcW w:type="dxa" w:w="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3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Absolutely Necessary</w:t>
            </w:r>
          </w:p>
        </w:tc>
        <w:tc>
          <w:tcPr>
            <w:tcW w:type="dxa" w:w="4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Direct, continuous flow of material or people between the two areas</w:t>
            </w:r>
          </w:p>
        </w:tc>
      </w:tr>
      <w:tr>
        <w:trPr>
          <w:cantSplit/>
        </w:trPr>
        <w:tc>
          <w:tcPr>
            <w:tcW w:type="dxa" w:w="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w:t>
            </w:r>
          </w:p>
        </w:tc>
        <w:tc>
          <w:tcPr>
            <w:tcW w:type="dxa" w:w="3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Especially Important</w:t>
            </w:r>
          </w:p>
        </w:tc>
        <w:tc>
          <w:tcPr>
            <w:tcW w:type="dxa" w:w="4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Frequent flow or a strong operational dependency</w:t>
            </w:r>
          </w:p>
        </w:tc>
      </w:tr>
      <w:tr>
        <w:trPr>
          <w:cantSplit/>
        </w:trPr>
        <w:tc>
          <w:tcPr>
            <w:tcW w:type="dxa" w:w="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3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Important</w:t>
            </w:r>
          </w:p>
        </w:tc>
        <w:tc>
          <w:tcPr>
            <w:tcW w:type="dxa" w:w="4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Regular flow or a meaningful working relationship</w:t>
            </w:r>
          </w:p>
        </w:tc>
      </w:tr>
      <w:tr>
        <w:trPr>
          <w:cantSplit/>
        </w:trPr>
        <w:tc>
          <w:tcPr>
            <w:tcW w:type="dxa" w:w="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w:t>
            </w:r>
          </w:p>
        </w:tc>
        <w:tc>
          <w:tcPr>
            <w:tcW w:type="dxa" w:w="3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Ordinary Closeness OK</w:t>
            </w:r>
          </w:p>
        </w:tc>
        <w:tc>
          <w:tcPr>
            <w:tcW w:type="dxa" w:w="4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Occasional contact; proximity is convenient but not critical</w:t>
            </w:r>
          </w:p>
        </w:tc>
      </w:tr>
      <w:tr>
        <w:trPr>
          <w:cantSplit/>
        </w:trPr>
        <w:tc>
          <w:tcPr>
            <w:tcW w:type="dxa" w:w="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w:t>
            </w:r>
          </w:p>
        </w:tc>
        <w:tc>
          <w:tcPr>
            <w:tcW w:type="dxa" w:w="3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Unimportant</w:t>
            </w:r>
          </w:p>
        </w:tc>
        <w:tc>
          <w:tcPr>
            <w:tcW w:type="dxa" w:w="4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 meaningful relationship either way</w:t>
            </w:r>
          </w:p>
        </w:tc>
      </w:tr>
      <w:tr>
        <w:trPr>
          <w:cantSplit/>
        </w:trPr>
        <w:tc>
          <w:tcPr>
            <w:tcW w:type="dxa" w:w="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X</w:t>
            </w:r>
          </w:p>
        </w:tc>
        <w:tc>
          <w:tcPr>
            <w:tcW w:type="dxa" w:w="3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Undesirable</w:t>
            </w:r>
          </w:p>
        </w:tc>
        <w:tc>
          <w:tcPr>
            <w:tcW w:type="dxa" w:w="4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Should be kept apart — noise, dust, vibration, fumes, safety, or similar conflict</w:t>
            </w:r>
          </w:p>
        </w:tc>
      </w:tr>
    </w:tbl>
    <w:p>
      <w:pPr>
        <w:spacing w:after="160" w:line="276"/>
      </w:pPr>
      <w:r>
        <w:rPr>
          <w:rFonts w:ascii="Calibri" w:cs="Calibri" w:eastAsia="Calibri" w:hAnsi="Calibri"/>
          <w:color w:val="222222"/>
          <w:sz w:val="21"/>
          <w:szCs w:val="21"/>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1200"/>
        <w:gridCol w:w="1800"/>
        <w:gridCol w:w="2000"/>
      </w:tblGrid>
      <w:tr>
        <w:trPr>
          <w:cantSplit/>
          <w:tblHeader/>
        </w:trPr>
        <w:tc>
          <w:tcPr>
            <w:tcW w:type="dxa" w:w="20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From Area</w:t>
            </w:r>
          </w:p>
        </w:tc>
        <w:tc>
          <w:tcPr>
            <w:tcW w:type="dxa" w:w="20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To Area</w:t>
            </w:r>
          </w:p>
        </w:tc>
        <w:tc>
          <w:tcPr>
            <w:tcW w:type="dxa" w:w="12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Rating</w:t>
            </w:r>
          </w:p>
        </w:tc>
        <w:tc>
          <w:tcPr>
            <w:tcW w:type="dxa" w:w="18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Reason Code(s)</w:t>
            </w:r>
          </w:p>
        </w:tc>
        <w:tc>
          <w:tcPr>
            <w:tcW w:type="dxa" w:w="20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Notes</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1</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Direct material feed</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2</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Direct material feed</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3 (New)</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Direct material feed, minimize handling</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3 (New)</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Reflow / AOI Inspection</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1, 4</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Immediate downstream inspection step</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Reflow / AOI Inspection</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Sequential flow, high frequency</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1, 4</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Every unit flows to test after assembly</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Calibration Lab</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2, 3</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Shared test technicians and equipment</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Conformal Coating</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Only select boards route through coating</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Conformal Coating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Final QC / Pack</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Sequential flow for coated boards</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Final QC / Pack</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Shipping</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Direct flow to outbound dock</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1</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X</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ESD/vibration sensitivity — keep test bench isolated from SMT floor traffic</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Maintenance / Spares</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3 (New)</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2, 5</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Frequent service calls, convenience</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Calibration Lab</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Occasional contact only</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Maintenance / Spares</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Shipping</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 meaningful interaction</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Court / Shipping Yard</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Inbound material receiving directly off the truck court</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Shipping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Court / Shipping Yard</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Direct flow to outbound dock</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Guard / Security Building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Visitor Parking</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1, 4</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Visitors check in at the gatehouse before parking</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Guard / Security Building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Parking Lot</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4, 7</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Badge verification for employee vehicle access</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Parking Lot</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Convenient employee walk-in proximity to the production floor</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Motorcycle Parking</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Parking Lot</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Grouped near main employee walk-in, ordinary proximity only</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Trash &amp; Recycling Enclosure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Shipping</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1, 6</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Waste hauled from the same general area as the outbound dock, kept clear of the forklift path</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Water Infrastructure (Detention Pond &amp; Pump House)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Court / Shipping Yard</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 operational interaction, sited by civil/stormwater constraints only</w:t>
            </w:r>
          </w:p>
        </w:tc>
      </w:tr>
      <w:tr>
        <w:trPr>
          <w:cantSplit/>
        </w:trPr>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Court / Shipping Yard</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Maintenance / Spares</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2, 5</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Convenient equipment/vehicle service access</w:t>
            </w:r>
          </w:p>
        </w:tc>
      </w:tr>
    </w:tbl>
    <w:p>
      <w:pPr>
        <w:spacing w:after="140" w:line="264"/>
      </w:pPr>
      <w:r>
        <w:rPr>
          <w:rFonts w:ascii="Calibri" w:cs="Calibri" w:eastAsia="Calibri" w:hAnsi="Calibri"/>
          <w:i/>
          <w:iCs/>
          <w:color w:val="666666"/>
          <w:sz w:val="18"/>
          <w:szCs w:val="18"/>
        </w:rPr>
        <w:t xml:space="preserve">Reason codes: 1 Flow of material/product · 2 Shared personnel · 3 Shared equipment · 4 Ease of supervision/communication · 5 Convenience · 6 Noise/dirt/vibration/fumes/hazard · 7 Safety.</w:t>
      </w:r>
    </w:p>
    <w:p>
      <w:pPr>
        <w:spacing w:after="80" w:before="260"/>
      </w:pPr>
      <w:r>
        <w:rPr>
          <w:rFonts w:ascii="Calibri" w:cs="Calibri" w:eastAsia="Calibri" w:hAnsi="Calibri"/>
          <w:b/>
          <w:bCs/>
          <w:color w:val="1F3864"/>
          <w:sz w:val="23"/>
          <w:szCs w:val="23"/>
        </w:rPr>
        <w:t xml:space="preserve">5. Site &amp; Circulation Flow Worksheet — filled example</w:t>
      </w:r>
    </w:p>
    <w:p>
      <w:pPr>
        <w:spacing w:after="140" w:line="264"/>
      </w:pPr>
      <w:r>
        <w:rPr>
          <w:rFonts w:ascii="Calibri" w:cs="Calibri" w:eastAsia="Calibri" w:hAnsi="Calibri"/>
          <w:i/>
          <w:iCs/>
          <w:color w:val="666666"/>
          <w:sz w:val="18"/>
          <w:szCs w:val="18"/>
        </w:rPr>
        <w:t xml:space="preserve">Part A — Vehicle &amp; Site Circulation: every distinct vehicle/traffic type the site has to handle, each tied to a specific gate — notice the site ends up with three separate entrances (visitor, employee, truck), not one all-purpose driveway, and the visitor gate routes through the Guard/Security Building named on the Activity List above.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600"/>
        <w:gridCol w:w="2200"/>
        <w:gridCol w:w="1600"/>
        <w:gridCol w:w="1600"/>
        <w:gridCol w:w="2000"/>
      </w:tblGrid>
      <w:tr>
        <w:trPr>
          <w:cantSplit/>
          <w:tblHeader/>
        </w:trPr>
        <w:tc>
          <w:tcPr>
            <w:tcW w:type="dxa" w:w="16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Vehicle / Traffic Type</w:t>
            </w:r>
          </w:p>
        </w:tc>
        <w:tc>
          <w:tcPr>
            <w:tcW w:type="dxa" w:w="22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Purpose / Where It's Going</w:t>
            </w:r>
          </w:p>
        </w:tc>
        <w:tc>
          <w:tcPr>
            <w:tcW w:type="dxa" w:w="16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Volume (Daily or Peak-Hour)</w:t>
            </w:r>
          </w:p>
        </w:tc>
        <w:tc>
          <w:tcPr>
            <w:tcW w:type="dxa" w:w="16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Site Entry / Exit Point</w:t>
            </w:r>
          </w:p>
        </w:tc>
        <w:tc>
          <w:tcPr>
            <w:tcW w:type="dxa" w:w="20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Notes / Known Conflicts</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Cars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Staff commute, all shifts</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~55 vehicles/day (peak overlap ~30 in 30 min at shift change)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Entrance (east gate)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Kept fully separate from the truck route</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Visitor Cars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Customer/vendor visits, sales tours</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~6-10/day</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Visitor Entrance (front, via gatehouse)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Routed past the SMT floor viewing window for tours — no gowning required</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Delivery / Supplier Trucks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Inbound component/reel deliveries</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4-6 trucks/day</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Entrance (south gate)</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Staged at the Truck Court; must not cross visitor or employee walk paths</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Outbound Shipping Trucks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Finished-goods pickup</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3-4 trucks/day</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Entrance (south gate), same as inbound</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Scheduled off-peak from inbound deliveries to reduce truck-court congestion</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Waste / Recycling Trucks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Dumpster/compactor pickup</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2x/week</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Entrance (south gate), after-hours only</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Scheduled after-hours to avoid conflict with shipping trucks</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Shuttle / Bus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Shift-change shuttle from off-site overflow parking</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 runs per shift change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Entrance (east gate), dedicated pull-off</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Needs its own pull-off — not shared with the car drive aisle</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Motorcycles / Scooters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Staff commute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~10/day</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Entrance (east gate), shared with cars</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Grouped covered parking near the employee walk-in</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Emergency Vehicle Access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Fire/EMS response</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As needed</w:t>
            </w:r>
          </w:p>
        </w:tc>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All gates; unobstructed 20-ft fire lane required</w:t>
            </w:r>
          </w:p>
        </w:tc>
        <w:tc>
          <w:tcPr>
            <w:tcW w:type="dxa" w:w="2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Fire lane must stay clear of truck-court queuing at all times</w:t>
            </w:r>
          </w:p>
        </w:tc>
      </w:tr>
    </w:tbl>
    <w:p>
      <w:pPr>
        <w:spacing w:after="160" w:line="276"/>
      </w:pPr>
      <w:r>
        <w:rPr>
          <w:rFonts w:ascii="Calibri" w:cs="Calibri" w:eastAsia="Calibri" w:hAnsi="Calibri"/>
          <w:color w:val="222222"/>
          <w:sz w:val="21"/>
          <w:szCs w:val="21"/>
        </w:rPr>
        <w:t xml:space="preserve"/>
      </w:r>
    </w:p>
    <w:p>
      <w:pPr>
        <w:spacing w:after="140" w:line="264"/>
      </w:pPr>
      <w:r>
        <w:rPr>
          <w:rFonts w:ascii="Calibri" w:cs="Calibri" w:eastAsia="Calibri" w:hAnsi="Calibri"/>
          <w:i/>
          <w:iCs/>
          <w:color w:val="666666"/>
          <w:sz w:val="18"/>
          <w:szCs w:val="18"/>
        </w:rPr>
        <w:t>Part B — High-Level People &amp; Material Flow (rough): where people and material broadly head once they're on site — origin and destination only, no procedure. This is deliberately as far as the Site &amp; Circulation Flow Worksheet goes on personnel movement. The exact entry sequence (locker room, gowning, security screening, badge-in) is real, and where its order is mandatory rather than just customary, it belongs on the Operating Sequence and Routing Worksheet, captured in Step 1 before relationships get rated — not inferred from a distance or a closeness rating here.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2200"/>
        <w:gridCol w:w="2800"/>
      </w:tblGrid>
      <w:tr>
        <w:trPr>
          <w:cantSplit/>
          <w:tblHeader/>
        </w:trPr>
        <w:tc>
          <w:tcPr>
            <w:tcW w:type="dxa" w:w="18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Flow Type (People / Material)</w:t>
            </w:r>
          </w:p>
        </w:tc>
        <w:tc>
          <w:tcPr>
            <w:tcW w:type="dxa" w:w="22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From</w:t>
            </w:r>
          </w:p>
        </w:tc>
        <w:tc>
          <w:tcPr>
            <w:tcW w:type="dxa" w:w="22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To</w:t>
            </w:r>
          </w:p>
        </w:tc>
        <w:tc>
          <w:tcPr>
            <w:tcW w:type="dxa" w:w="2800"/>
            <w:shd w:fill="1F3864" w:val="clear"/>
            <w:tcMar>
              <w:top w:type="dxa" w:w="100"/>
              <w:left w:type="dxa" w:w="120"/>
              <w:bottom w:type="dxa" w:w="100"/>
              <w:right w:type="dxa" w:w="120"/>
            </w:tcMar>
            <w:vAlign w:val="center"/>
          </w:tcPr>
          <w:p>
            <w:pPr>
              <w:spacing w:after="0"/>
            </w:pPr>
            <w:r>
              <w:rPr>
                <w:rFonts w:ascii="Calibri" w:cs="Calibri" w:eastAsia="Calibri" w:hAnsi="Calibri"/>
                <w:b/>
                <w:bCs/>
                <w:i w:val="false"/>
                <w:iCs w:val="false"/>
                <w:color w:val="FFFFFF"/>
                <w:sz w:val="18"/>
                <w:szCs w:val="18"/>
              </w:rPr>
              <w:t xml:space="preserve">General Path / Notes</w:t>
            </w:r>
          </w:p>
        </w:tc>
      </w:tr>
      <w:tr>
        <w:trPr>
          <w:cantSplit/>
        </w:trPr>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People — Employee Foot Traffic</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Entrance (east gate)</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Locker/Gowning Area, then SMT &amp; Hand-Assembly floor</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Employees enter and move directly toward locker/gowning before reaching the production floor</w:t>
            </w:r>
          </w:p>
        </w:tc>
      </w:tr>
      <w:tr>
        <w:trPr>
          <w:cantSplit/>
        </w:trPr>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People — Visitor Foot Traffic</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Visitor Entrance / Gatehouse (front)</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Reception, then the SMT floor viewing corridor</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Routed past the SMT floor viewing window for tours — no gowning required, per the Directives Log entry above</w:t>
            </w:r>
          </w:p>
        </w:tc>
      </w:tr>
      <w:tr>
        <w:trPr>
          <w:cantSplit/>
        </w:trPr>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Material — Inbound Components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Court (south gate)</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Delivery trucks unload directly to kitting, minimal intermediate handling</w:t>
            </w:r>
          </w:p>
        </w:tc>
      </w:tr>
      <w:tr>
        <w:trPr>
          <w:cantSplit/>
        </w:trPr>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Material — Outbound Finished Goods</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Final QC / Pack</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Truck Court (south gate), via Shipping</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Pack-out flow is one-directional to the outbound dock</w:t>
            </w:r>
          </w:p>
        </w:tc>
      </w:tr>
      <w:tr>
        <w:trPr>
          <w:cantSplit/>
        </w:trPr>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Material — Waste / Scrap</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Production Floor (SMT &amp; Hand Assembly)</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Trash &amp; Recycling Enclosure</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Routed clear of the forklift path to the truck court</w:t>
            </w:r>
          </w:p>
        </w:tc>
      </w:tr>
      <w:tr>
        <w:trPr>
          <w:cantSplit/>
        </w:trPr>
        <w:tc>
          <w:tcPr>
            <w:tcW w:type="dxa" w:w="1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People — Maintenance/Service Foot Traffic</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Entrance / Maintenance Shop</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Lines &amp; Test Lab, as needed</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Ad hoc, not a fixed route — worked around active production when possible</w:t>
            </w:r>
          </w:p>
        </w:tc>
      </w:tr>
    </w:tbl>
    <w:p>
      <w:pPr>
        <w:keepNext/>
        <w:spacing w:after="100"/>
      </w:pPr>
      <w:r>
        <w:rPr>
          <w:rFonts w:ascii="Calibri" w:cs="Calibri" w:eastAsia="Calibri" w:hAnsi="Calibri"/>
          <w:b/>
          <w:bCs/>
          <w:color w:val="B5892B"/>
          <w:sz w:val="20"/>
          <w:szCs w:val="20"/>
        </w:rPr>
        <w:t xml:space="preserve">STEP 2 — MODEL</w:t>
      </w:r>
    </w:p>
    <w:p>
      <w:pPr>
        <w:spacing w:after="180"/>
      </w:pPr>
      <w:r>
        <w:rPr>
          <w:rFonts w:ascii="Calibri" w:cs="Calibri" w:eastAsia="Calibri" w:hAnsi="Calibri"/>
          <w:color w:val="222222"/>
          <w:sz w:val="21"/>
          <w:szCs w:val="21"/>
        </w:rPr>
        <w:t xml:space="preserve">Two meaningfully different block layout alternatives, built directly from Step 1's Activity List, Relationship Chart, and Site &amp; Circulation Flow Worksheet — site plan and vehicle circulation included, not just the interior blocks. Architectural-shell 3D models (walls, doors, windows, columns only — no equipment yet) were built for both alternatives, per standard practice when a 3D model is being used on the project.</w:t>
      </w:r>
    </w:p>
    <w:p>
      <w:pPr>
        <w:keepNext/>
        <w:spacing w:after="80"/>
      </w:pPr>
      <w:r>
        <w:rPr>
          <w:rFonts w:ascii="Calibri" w:cs="Calibri" w:eastAsia="Calibri" w:hAnsi="Calibri"/>
          <w:b/>
          <w:bCs/>
          <w:color w:val="1F3864"/>
          <w:sz w:val="23"/>
          <w:szCs w:val="23"/>
        </w:rPr>
        <w:t xml:space="preserve">6. Block Layout Alternative Summary</w:t>
      </w:r>
    </w:p>
    <w:p>
      <w:pPr>
        <w:spacing w:after="140"/>
      </w:pPr>
      <w:r>
        <w:rPr>
          <w:rFonts w:ascii="Calibri" w:cs="Calibri" w:eastAsia="Calibri" w:hAnsi="Calibri"/>
          <w:i/>
          <w:iCs/>
          <w:color w:val="666666"/>
          <w:sz w:val="18"/>
          <w:szCs w:val="18"/>
        </w:rPr>
        <w:t xml:space="preserve">Two real alternatives, each checked against the Executive Design Directives &amp; Constraints Log — not one idea presented as the answer. Est. Total GSF is a rough, Model-stage number; it gets refined on the Space &amp; Density Worksheet in Step 5, for the selected alternative only.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300"/>
        <w:gridCol w:w="2800"/>
        <w:gridCol w:w="1950"/>
        <w:gridCol w:w="1950"/>
        <w:gridCol w:w="1000"/>
      </w:tblGrid>
      <w:tr>
        <w:trPr>
          <w:cantSplit/>
          <w:tblHeader/>
        </w:trPr>
        <w:tc>
          <w:tcPr>
            <w:tcW w:type="dxa" w:w="13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Alternative</w:t>
            </w:r>
          </w:p>
        </w:tc>
        <w:tc>
          <w:tcPr>
            <w:tcW w:type="dxa" w:w="28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Key Layout Logic</w:t>
            </w:r>
          </w:p>
        </w:tc>
        <w:tc>
          <w:tcPr>
            <w:tcW w:type="dxa" w:w="19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Strengths</w:t>
            </w:r>
          </w:p>
        </w:tc>
        <w:tc>
          <w:tcPr>
            <w:tcW w:type="dxa" w:w="19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Weaknesses</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Est. Total GSF</w:t>
            </w:r>
          </w:p>
        </w:tc>
      </w:tr>
      <w:tr>
        <w:trPr>
          <w:cantSplit/>
        </w:trPr>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Alternative A — South Bay Extension, In-Line SMT Row</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Extend Building 2's south wall to add SMT Line 3 directly in-line with Lines 1-2, keeping all three SMT lines and Kitting in a single production row. Functional Test Lab expands within its current footprint, immediately adjacent to the SMT floor. Truck court and parking unchanged from the current site plan.</w:t>
            </w:r>
          </w:p>
        </w:tc>
        <w:tc>
          <w:tcPr>
            <w:tcW w:type="dxa" w:w="19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Shortest Kitting-through-SMT travel of the two (single straight row); smallest, lowest-cost addition, tying into existing structural bay spacing; least disruptive to Lines 1-2 production during construction (addition is at the far end of the building).</w:t>
            </w:r>
          </w:p>
        </w:tc>
        <w:tc>
          <w:tcPr>
            <w:tcW w:type="dxa" w:w="19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Test Lab stays directly adjacent to the SMT floor — the Relationship Chart's X-rated pairing (Functional Test Lab / SMT Placement Line 1, Reason 6, ESD/vibration) is tolerated, not resolved. The addition ties into a load-bearing bay, which limits future reconfiguration under the no-permanent-walls directive and the 50%-growth directive.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≈17,200</w:t>
            </w:r>
          </w:p>
        </w:tc>
      </w:tr>
      <w:tr>
        <w:trPr>
          <w:cantSplit/>
        </w:trPr>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Alternative B — North Bay Addition with Test Lab Relocation</w:t>
            </w:r>
          </w:p>
        </w:tc>
        <w:tc>
          <w:tcPr>
            <w:tcW w:type="dxa" w:w="2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New SMT Line 3 sited at the north end of Building 2, in line with Kitting and Reflow/AOI (shortest kitting-to-SMT travel). Functional Test Lab relocated and expanded into a new bay adjacent to Hand Assembly, separated from the SMT floor by a full-height corridor to control ESD/vibration exposure while staying close to Hand Assembly's downstream flow.</w:t>
            </w:r>
          </w:p>
        </w:tc>
        <w:tc>
          <w:tcPr>
            <w:tcW w:type="dxa" w:w="19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Directly resolves the X-rated SMT/Test adjacency instead of tolerating it; open, column-light bay structure supports the no-permanent-walls directive better than the south option; more contiguous open floor area supports the 50%-growth directive without requiring a second addition later.</w:t>
            </w:r>
          </w:p>
        </w:tc>
        <w:tc>
          <w:tcPr>
            <w:tcW w:type="dxa" w:w="19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Larger new-construction footprint, higher shell cost and longer schedule than Alternative A; longer travel from Reflow/AOI to the relocated Test Lab than Alternative A's tighter footprint, only partly offset by routing through Hand Assembly.</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≈18,900</w:t>
            </w:r>
          </w:p>
        </w:tc>
      </w:tr>
    </w:tbl>
    <w:p>
      <w:pPr>
        <w:keepNext/>
        <w:spacing w:after="100"/>
      </w:pPr>
      <w:r>
        <w:rPr>
          <w:rFonts w:ascii="Calibri" w:cs="Calibri" w:eastAsia="Calibri" w:hAnsi="Calibri"/>
          <w:b/>
          <w:bCs/>
          <w:color w:val="B5892B"/>
          <w:sz w:val="20"/>
          <w:szCs w:val="20"/>
        </w:rPr>
        <w:t xml:space="preserve">STEP 3 — REVIEW</w:t>
      </w:r>
    </w:p>
    <w:p>
      <w:pPr>
        <w:spacing w:after="180"/>
      </w:pPr>
      <w:r>
        <w:rPr>
          <w:rFonts w:ascii="Calibri" w:cs="Calibri" w:eastAsia="Calibri" w:hAnsi="Calibri"/>
          <w:color w:val="222222"/>
          <w:sz w:val="21"/>
          <w:szCs w:val="21"/>
        </w:rPr>
        <w:t xml:space="preserve">Both alternatives brought to leadership on July 10, 2026 — COO, VP Operations, VP Sales, and the Facilities Director in the room together — and scored on the Weighted-Factor Scorecard using the companion Excel workbook (FRF_Phase2_Weighted_Scorecard.xlsx). Each criterion's definition was walked through before scoring started, so everyone rated against the same thing.</w:t>
      </w:r>
    </w:p>
    <w:p>
      <w:pPr>
        <w:keepNext/>
        <w:spacing w:after="80"/>
      </w:pPr>
      <w:r>
        <w:rPr>
          <w:rFonts w:ascii="Calibri" w:cs="Calibri" w:eastAsia="Calibri" w:hAnsi="Calibri"/>
          <w:b/>
          <w:bCs/>
          <w:color w:val="1F3864"/>
          <w:sz w:val="23"/>
          <w:szCs w:val="23"/>
        </w:rPr>
        <w:t xml:space="preserve">7. Weighted-Factor Scorecard — Excel Tool Output</w:t>
      </w:r>
    </w:p>
    <w:p>
      <w:pPr>
        <w:spacing w:after="140"/>
      </w:pPr>
      <w:r>
        <w:rPr>
          <w:rFonts w:ascii="Calibri" w:cs="Calibri" w:eastAsia="Calibri" w:hAnsi="Calibri"/>
          <w:i/>
          <w:iCs/>
          <w:color w:val="666666"/>
          <w:sz w:val="18"/>
          <w:szCs w:val="18"/>
        </w:rPr>
        <w:t xml:space="preserve">Scored in the workbook, not re-scored here — this table shows the workbook's output: the actual Raw (1-10) and Weighted (Weight × Raw ÷ 10) scores entered for each alternative, and the workbook's auto-calculated totals. Per the Facilitator Guide's timing rule, the four Operations-domain criteria were scored against the high-level data already in hand at this point only — Step 1's High-Level Flows, the Relationship Chart Worksheet's ratings, the preliminary capacity read, and the Activity List &amp; Space Requirements Worksheet's preliminary SF — not against Step 5 detail (exact machine footprints, true Equipment Packing Density) that doesn't exist yet at Step 3/4.</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350"/>
        <w:gridCol w:w="3350"/>
        <w:gridCol w:w="550"/>
        <w:gridCol w:w="800"/>
        <w:gridCol w:w="850"/>
        <w:gridCol w:w="800"/>
        <w:gridCol w:w="1300"/>
      </w:tblGrid>
      <w:tr>
        <w:trPr>
          <w:cantSplit/>
          <w:tblHeader/>
        </w:trPr>
        <w:tc>
          <w:tcPr>
            <w:tcW w:type="dxa" w:w="13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Domain</w:t>
            </w:r>
          </w:p>
        </w:tc>
        <w:tc>
          <w:tcPr>
            <w:tcW w:type="dxa" w:w="33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Criterion</w:t>
            </w:r>
          </w:p>
        </w:tc>
        <w:tc>
          <w:tcPr>
            <w:tcW w:type="dxa" w:w="5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Wt</w:t>
            </w:r>
          </w:p>
        </w:tc>
        <w:tc>
          <w:tcPr>
            <w:tcW w:type="dxa" w:w="8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A Raw</w:t>
            </w:r>
          </w:p>
        </w:tc>
        <w:tc>
          <w:tcPr>
            <w:tcW w:type="dxa" w:w="8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A Wtd</w:t>
            </w:r>
          </w:p>
        </w:tc>
        <w:tc>
          <w:tcPr>
            <w:tcW w:type="dxa" w:w="8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B Raw</w:t>
            </w:r>
          </w:p>
        </w:tc>
        <w:tc>
          <w:tcPr>
            <w:tcW w:type="dxa" w:w="13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B Wtd</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Company &amp; Community Fit</w:t>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Alignment with company image &amp; culture</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3.5</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Community / neighbor impact</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3.0</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Workforce commute &amp; labor market access</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3.5</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3.5</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Business Impact</w:t>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Capital cost to implement</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5.0</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Speed to occupancy / schedule impact</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6.0</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Operations</w:t>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Material &amp; people flow efficiency (High-Level Flows)</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9.0</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Relationship / adjacency fit (Relationship Chart Worksheet)</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10.0</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Capacity fit (preliminary capacity read)</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5.6</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6.4</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Space fit (Activity List &amp; Space Requirements Worksheet)</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4.9</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4.2</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Physical Practicality</w:t>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Site &amp; building constraint fit</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4.8</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6.4</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Constructability / permitting risk</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5.6</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4.2</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Future Flexibility</w:t>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Expansion capacity</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7.2</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
            </w:r>
          </w:p>
        </w:tc>
        <w:tc>
          <w:tcPr>
            <w:tcW w:type="dxa" w:w="33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Adaptability to product/process change</w:t>
            </w:r>
          </w:p>
        </w:tc>
        <w:tc>
          <w:tcPr>
            <w:tcW w:type="dxa" w:w="5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8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3.5</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1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5.6</w:t>
            </w:r>
          </w:p>
        </w:tc>
      </w:tr>
      <w:tr>
        <w:trPr>
          <w:cantSplit/>
        </w:trPr>
        <w:tc>
          <w:tcPr>
            <w:tcW w:type="dxa" w:w="13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TOTAL</w:t>
            </w:r>
          </w:p>
        </w:tc>
        <w:tc>
          <w:tcPr>
            <w:tcW w:type="dxa" w:w="33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
            </w:r>
          </w:p>
        </w:tc>
        <w:tc>
          <w:tcPr>
            <w:tcW w:type="dxa" w:w="5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100</w:t>
            </w:r>
          </w:p>
        </w:tc>
        <w:tc>
          <w:tcPr>
            <w:tcW w:type="dxa" w:w="8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
            </w:r>
          </w:p>
        </w:tc>
        <w:tc>
          <w:tcPr>
            <w:tcW w:type="dxa" w:w="8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64.4</w:t>
            </w:r>
          </w:p>
        </w:tc>
        <w:tc>
          <w:tcPr>
            <w:tcW w:type="dxa" w:w="8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
            </w:r>
          </w:p>
        </w:tc>
        <w:tc>
          <w:tcPr>
            <w:tcW w:type="dxa" w:w="13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74.5</w:t>
            </w:r>
          </w:p>
        </w:tc>
      </w:tr>
    </w:tbl>
    <w:p>
      <w:pPr>
        <w:spacing w:after="140"/>
      </w:pPr>
      <w:r>
        <w:rPr>
          <w:rFonts w:ascii="Calibri" w:cs="Calibri" w:eastAsia="Calibri" w:hAnsi="Calibri"/>
          <w:i/>
          <w:iCs/>
          <w:color w:val="5C574A"/>
          <w:sz w:val="18"/>
          <w:szCs w:val="18"/>
        </w:rPr>
        <w:t>Alternative A wins Business Impact outright (lower capital cost, faster occupancy) and edges Company &amp; Community Fit. Alternative B wins Operations and Future Flexibility decisively, with Physical Practicality close to even — the margin comes from resolving the X-rated Functional Test Lab / SMT Line 1 adjacency and supporting the 50%-growth directive, not from Alternative A being a weak alternative. Margin over runner-up: (74.5 − 64.4) ÷ 64.4 = 15.7% — above the Facilitator Guide's 15% sensitivity-review threshold; the margin alone does not trigger an additional review.</w:t>
      </w:r>
    </w:p>
    <w:p>
      <w:pPr>
        <w:keepNext/>
        <w:spacing w:after="100"/>
      </w:pPr>
      <w:r>
        <w:rPr>
          <w:rFonts w:ascii="Calibri" w:cs="Calibri" w:eastAsia="Calibri" w:hAnsi="Calibri"/>
          <w:b/>
          <w:bCs/>
          <w:color w:val="B5892B"/>
          <w:sz w:val="20"/>
          <w:szCs w:val="20"/>
        </w:rPr>
        <w:t xml:space="preserve">STEP 4 — SELECT</w:t>
      </w:r>
    </w:p>
    <w:p>
      <w:pPr>
        <w:spacing w:after="180"/>
      </w:pPr>
      <w:r>
        <w:rPr>
          <w:rFonts w:ascii="Calibri" w:cs="Calibri" w:eastAsia="Calibri" w:hAnsi="Calibri"/>
          <w:color w:val="222222"/>
          <w:sz w:val="21"/>
          <w:szCs w:val="21"/>
        </w:rPr>
        <w:t xml:space="preserve">On July 14, 2026, VP Operations confirmed Alternative B as the winner — its scorecard total is meaningfully higher than Alternative A's, not a coin-flip margin — and recorded the decision below.</w:t>
      </w:r>
    </w:p>
    <w:p>
      <w:pPr>
        <w:keepNext/>
        <w:spacing w:after="80"/>
      </w:pPr>
      <w:r>
        <w:rPr>
          <w:rFonts w:ascii="Calibri" w:cs="Calibri" w:eastAsia="Calibri" w:hAnsi="Calibri"/>
          <w:b/>
          <w:bCs/>
          <w:color w:val="1F3864"/>
          <w:sz w:val="23"/>
          <w:szCs w:val="23"/>
        </w:rPr>
        <w:t xml:space="preserve">8. Selection Decision Record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Selected Alternative Name</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Alternative B — North Bay Addition with Test Lab Relocation</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Scorecard Total — Selected (out of 100)</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74.5</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Scorecard Total — Runner-Up (out of 100)</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64.4 (Alternative A)</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 Margin Above Runner-Up</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15.7% margin — does not trigger an additional sensitivity review based solely on score proximity</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Shell-Fit Decision — Existing Building / New Building</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Building addition — a new north bay tied into the existing Building 2 shell; the expanded scope does not fit within the current building footprint.</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Rationale</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Alternative B costs more and takes longer to occupy than Alternative A (Business Impact: 11.0 vs 16.0, Alternative A's favor), but it directly resolves the Relationship Chart's X-rated Functional Test Lab / SMT Line 1 adjacency instead of tolerating it, and its open, column-light bay structure supports both the no-permanent-walls directive and the 50%-capacity-growth directive far better than Alternative A's load-bearing tie-in (Operations: 29.6 vs 19.5; Future Flexibility: 12.8 vs 7.5, both in B's favor). A 15.7% margin is a real gap, not a rounding error.</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Approved By — Name, Title, Signature, 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[Name], VP Operations, [signature], July 14, 2026</w:t>
            </w:r>
          </w:p>
        </w:tc>
      </w:tr>
    </w:tbl>
    <w:p>
      <w:pPr>
        <w:keepNext/>
        <w:spacing w:after="100"/>
      </w:pPr>
      <w:r>
        <w:rPr>
          <w:rFonts w:ascii="Calibri" w:cs="Calibri" w:eastAsia="Calibri" w:hAnsi="Calibri"/>
          <w:b/>
          <w:bCs/>
          <w:color w:val="B5892B"/>
          <w:sz w:val="20"/>
          <w:szCs w:val="20"/>
        </w:rPr>
        <w:t xml:space="preserve">STEP 5 — DETAIL</w:t>
      </w:r>
    </w:p>
    <w:p>
      <w:pPr>
        <w:spacing w:after="180"/>
      </w:pPr>
      <w:r>
        <w:rPr>
          <w:rFonts w:ascii="Calibri" w:cs="Calibri" w:eastAsia="Calibri" w:hAnsi="Calibri"/>
          <w:color w:val="222222"/>
          <w:sz w:val="21"/>
          <w:szCs w:val="21"/>
        </w:rPr>
        <w:t xml:space="preserve">Everything from here runs against Alternative B alone. Six components, in the order the Facilitator Guide runs them — Capacity Planning first, since almost everything else depends on its answer, then Detailed Flow, Space Analysis, non-flow Relationships, the Utility Requirements Summary, and the Detailed 3D Layout. Template numbers below match the Facilitator Guide's Templates section (its own reference order), not this filling order.</w:t>
      </w:r>
    </w:p>
    <w:p>
      <w:pPr>
        <w:keepNext/>
        <w:spacing w:after="80"/>
      </w:pPr>
      <w:r>
        <w:rPr>
          <w:rFonts w:ascii="Calibri" w:cs="Calibri" w:eastAsia="Calibri" w:hAnsi="Calibri"/>
          <w:b/>
          <w:bCs/>
          <w:color w:val="1F3864"/>
          <w:sz w:val="23"/>
          <w:szCs w:val="23"/>
        </w:rPr>
        <w:t xml:space="preserve">9. Capacity &amp; Capacity Model Worksheet</w:t>
      </w:r>
    </w:p>
    <w:p>
      <w:pPr>
        <w:spacing w:after="140"/>
      </w:pPr>
      <w:r>
        <w:rPr>
          <w:rFonts w:ascii="Calibri" w:cs="Calibri" w:eastAsia="Calibri" w:hAnsi="Calibri"/>
          <w:i/>
          <w:iCs/>
          <w:color w:val="666666"/>
          <w:sz w:val="18"/>
          <w:szCs w:val="18"/>
        </w:rPr>
        <w:t xml:space="preserve">Turns Step 1's rough capacity read (55,000 boards/month Year 1 target; SMT Line 2 already at 88% utilization) into exact per-machine-type counts. Required Throughput ÷ Rate per Machine = Machines Needed, rounded up; compared against what's already on hand for the Net New count.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600"/>
        <w:gridCol w:w="1400"/>
        <w:gridCol w:w="1400"/>
        <w:gridCol w:w="1200"/>
        <w:gridCol w:w="1000"/>
        <w:gridCol w:w="700"/>
        <w:gridCol w:w="1700"/>
      </w:tblGrid>
      <w:tr>
        <w:trPr>
          <w:cantSplit/>
          <w:tblHeader/>
        </w:trPr>
        <w:tc>
          <w:tcPr>
            <w:tcW w:type="dxa" w:w="16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Machine / Equipment Type</w:t>
            </w:r>
          </w:p>
        </w:tc>
        <w:tc>
          <w:tcPr>
            <w:tcW w:type="dxa" w:w="14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Required Throughput</w:t>
            </w:r>
          </w:p>
        </w:tc>
        <w:tc>
          <w:tcPr>
            <w:tcW w:type="dxa" w:w="14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Rate per Machine</w:t>
            </w:r>
          </w:p>
        </w:tc>
        <w:tc>
          <w:tcPr>
            <w:tcW w:type="dxa" w:w="12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Machines Needed (calc.)</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Existing / Available</w:t>
            </w:r>
          </w:p>
        </w:tc>
        <w:tc>
          <w:tcPr>
            <w:tcW w:type="dxa" w:w="7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Net New</w:t>
            </w:r>
          </w:p>
        </w:tc>
        <w:tc>
          <w:tcPr>
            <w:tcW w:type="dxa" w:w="17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Notes</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Pick-and-Place System</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55,000 boards/mo (Year 1 target)</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20,000 boards/mo/line (3-shift/6-day nameplate)</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2.75 → 3</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w:t>
            </w:r>
          </w:p>
        </w:tc>
        <w:tc>
          <w:tcPr>
            <w:tcW w:type="dxa" w:w="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Matches the 3rd SMT line already carried in the Gate 2 scope</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Stencil Printer</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55,000 boards/mo</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20,000 boards/mo/line</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2.75 → 3</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w:t>
            </w:r>
          </w:p>
        </w:tc>
        <w:tc>
          <w:tcPr>
            <w:tcW w:type="dxa" w:w="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Paired 1:1 with each placement line; same nameplate rate</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Reflow Oven</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55,000 boards/mo</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20,000 boards/mo/line</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2.75 → 3</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w:t>
            </w:r>
          </w:p>
        </w:tc>
        <w:tc>
          <w:tcPr>
            <w:tcW w:type="dxa" w:w="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Paired 1:1 with each placement line; dedicated 208V/3-phase drop per Operational Needs Summary</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AOI Inspection System</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≈88 boards/hr (aggregate, all 3 lines at Year 1 target)</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45 boards/hr/system</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1.96 → 2</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Upgrade adds a 2nd in-line AOI system so inspection keeps pace with the 3rd line</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Station</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≈88 boards/hr</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7.5 boards/hr/station</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11.8 → 12</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w:t>
            </w:r>
          </w:p>
        </w:tc>
        <w:tc>
          <w:tcPr>
            <w:tcW w:type="dxa" w:w="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Matches the 12-station Functional Test Lab footprint on the Activity List</w:t>
            </w:r>
          </w:p>
        </w:tc>
      </w:tr>
      <w:tr>
        <w:trPr>
          <w:cantSplit/>
        </w:trPr>
        <w:tc>
          <w:tcPr>
            <w:tcW w:type="dxa" w:w="16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TOTAL — Net New Machines</w:t>
            </w:r>
          </w:p>
        </w:tc>
        <w:tc>
          <w:tcPr>
            <w:tcW w:type="dxa" w:w="14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c>
          <w:tcPr>
            <w:tcW w:type="dxa" w:w="14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c>
          <w:tcPr>
            <w:tcW w:type="dxa" w:w="12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c>
          <w:tcPr>
            <w:tcW w:type="dxa" w:w="10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c>
          <w:tcPr>
            <w:tcW w:type="dxa" w:w="7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8</w:t>
            </w:r>
          </w:p>
        </w:tc>
        <w:tc>
          <w:tcPr>
            <w:tcW w:type="dxa" w:w="17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1+1+1+1+4</w:t>
            </w:r>
          </w:p>
        </w:tc>
      </w:tr>
    </w:tbl>
    <w:p>
      <w:pPr>
        <w:spacing w:after="140"/>
      </w:pPr>
      <w:r>
        <w:rPr>
          <w:rFonts w:ascii="Calibri" w:cs="Calibri" w:eastAsia="Calibri" w:hAnsi="Calibri"/>
          <w:i/>
          <w:iCs/>
          <w:color w:val="5C574A"/>
          <w:sz w:val="18"/>
          <w:szCs w:val="18"/>
        </w:rPr>
        <w:t xml:space="preserve">Hourly throughput basis: 55,000 boards/mo ÷ (3 shifts × 8 hr × 6 days/wk × 4.33 wk/mo) ≈ 88 boards/hr, once the Year 1 shift pattern from the Operational Needs Summary is in effect. All 8 net-new machines here match the Gate 2 scope carried forward into Phase 3: 1 pick-and-place system, 1 stencil printer, 1 reflow oven, 1 AOI system upgrade, 4 functional test stations.</w:t>
      </w:r>
    </w:p>
    <w:p>
      <w:pPr>
        <w:keepNext/>
        <w:spacing w:after="80"/>
      </w:pPr>
      <w:r>
        <w:rPr>
          <w:rFonts w:ascii="Calibri" w:cs="Calibri" w:eastAsia="Calibri" w:hAnsi="Calibri"/>
          <w:b/>
          <w:bCs/>
          <w:color w:val="1F3864"/>
          <w:sz w:val="23"/>
          <w:szCs w:val="23"/>
        </w:rPr>
        <w:t xml:space="preserve">11. Flow &amp; Travel-Distance Tracker</w:t>
      </w:r>
    </w:p>
    <w:p>
      <w:pPr>
        <w:spacing w:after="140"/>
      </w:pPr>
      <w:r>
        <w:rPr>
          <w:rFonts w:ascii="Calibri" w:cs="Calibri" w:eastAsia="Calibri" w:hAnsi="Calibri"/>
          <w:i/>
          <w:iCs/>
          <w:color w:val="666666"/>
          <w:sz w:val="18"/>
          <w:szCs w:val="18"/>
        </w:rPr>
        <w:t xml:space="preserve">Detailed Flow — the first point material flow gets quantified at all; Step 1 only had a rough directional read. Baseline is today's 2-line layout; Proposed is Alternative B.</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150"/>
        <w:gridCol w:w="1150"/>
        <w:gridCol w:w="800"/>
        <w:gridCol w:w="1200"/>
        <w:gridCol w:w="1200"/>
        <w:gridCol w:w="1750"/>
        <w:gridCol w:w="1750"/>
      </w:tblGrid>
      <w:tr>
        <w:trPr>
          <w:cantSplit/>
          <w:tblHeader/>
        </w:trPr>
        <w:tc>
          <w:tcPr>
            <w:tcW w:type="dxa" w:w="11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From Area</w:t>
            </w:r>
          </w:p>
        </w:tc>
        <w:tc>
          <w:tcPr>
            <w:tcW w:type="dxa" w:w="11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To Area</w:t>
            </w:r>
          </w:p>
        </w:tc>
        <w:tc>
          <w:tcPr>
            <w:tcW w:type="dxa" w:w="8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Trips/Day</w:t>
            </w:r>
          </w:p>
        </w:tc>
        <w:tc>
          <w:tcPr>
            <w:tcW w:type="dxa" w:w="12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Distance — Baseline (ft)</w:t>
            </w:r>
          </w:p>
        </w:tc>
        <w:tc>
          <w:tcPr>
            <w:tcW w:type="dxa" w:w="12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Distance — Proposed (ft)</w:t>
            </w:r>
          </w:p>
        </w:tc>
        <w:tc>
          <w:tcPr>
            <w:tcW w:type="dxa" w:w="17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Daily Travel — Baseline (ft)</w:t>
            </w:r>
          </w:p>
        </w:tc>
        <w:tc>
          <w:tcPr>
            <w:tcW w:type="dxa" w:w="175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Daily Travel — Proposed (ft)</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(avg per line)</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42</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85</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3,570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2,520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Reflow / AOI Inspection</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42</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35</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1,680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1,470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Reflow / AOI Inspection</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38</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95</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70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3,610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2,660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36</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150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4,320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5,400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Calibration Lab</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25</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300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250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Conformal Coating</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14</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110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1,540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1,260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Conformal Coating</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Final QC / Pack</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14</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45</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630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560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Final QC / Pack</w:t>
            </w:r>
          </w:p>
        </w:tc>
        <w:tc>
          <w:tcPr>
            <w:tcW w:type="dxa" w:w="11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Shipping</w:t>
            </w:r>
          </w:p>
        </w:tc>
        <w:tc>
          <w:tcPr>
            <w:tcW w:type="dxa" w:w="8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65</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55</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2,600</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2,200</w:t>
            </w:r>
          </w:p>
        </w:tc>
      </w:tr>
      <w:tr>
        <w:trPr>
          <w:cantSplit/>
        </w:trPr>
        <w:tc>
          <w:tcPr>
            <w:tcW w:type="dxa" w:w="11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TOTAL</w:t>
            </w:r>
          </w:p>
        </w:tc>
        <w:tc>
          <w:tcPr>
            <w:tcW w:type="dxa" w:w="11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
            </w:r>
          </w:p>
        </w:tc>
        <w:tc>
          <w:tcPr>
            <w:tcW w:type="dxa" w:w="8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c>
          <w:tcPr>
            <w:tcW w:type="dxa" w:w="12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c>
          <w:tcPr>
            <w:tcW w:type="dxa" w:w="12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c>
          <w:tcPr>
            <w:tcW w:type="dxa" w:w="17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18,250</w:t>
            </w:r>
          </w:p>
        </w:tc>
        <w:tc>
          <w:tcPr>
            <w:tcW w:type="dxa" w:w="175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16,320</w:t>
            </w:r>
          </w:p>
        </w:tc>
      </w:tr>
    </w:tbl>
    <w:p>
      <w:pPr>
        <w:spacing w:after="140"/>
      </w:pPr>
      <w:r>
        <w:rPr>
          <w:rFonts w:ascii="Calibri" w:cs="Calibri" w:eastAsia="Calibri" w:hAnsi="Calibri"/>
          <w:i/>
          <w:iCs/>
          <w:color w:val="5C574A"/>
          <w:sz w:val="18"/>
          <w:szCs w:val="18"/>
        </w:rPr>
        <w:t xml:space="preserve">% Reduction = (Baseline Total − Proposed Total) ÷ Baseline Total = (18,250 − 16,320) ÷ 18,250 ≈ 10.6%. Not every leg gets shorter: Hand Assembly → Functional Test Lab grows from 120 ft to 150 ft, the direct cost of physically separating Test from the SMT floor to resolve the Relationship Chart's X-rated adjacency (Reason 6). The aggregate still drops because every other leg tightens under the north-bay siting.</w:t>
      </w:r>
    </w:p>
    <w:p>
      <w:pPr>
        <w:keepNext/>
        <w:spacing w:after="80"/>
      </w:pPr>
      <w:r>
        <w:rPr>
          <w:rFonts w:ascii="Calibri" w:cs="Calibri" w:eastAsia="Calibri" w:hAnsi="Calibri"/>
          <w:b/>
          <w:bCs/>
          <w:color w:val="1F3864"/>
          <w:sz w:val="23"/>
          <w:szCs w:val="23"/>
        </w:rPr>
        <w:t xml:space="preserve">10. Space &amp; Density Worksheet</w:t>
      </w:r>
    </w:p>
    <w:p>
      <w:pPr>
        <w:spacing w:after="140"/>
      </w:pPr>
      <w:r>
        <w:rPr>
          <w:rFonts w:ascii="Calibri" w:cs="Calibri" w:eastAsia="Calibri" w:hAnsi="Calibri"/>
          <w:i/>
          <w:iCs/>
          <w:color w:val="666666"/>
          <w:sz w:val="18"/>
          <w:szCs w:val="18"/>
        </w:rPr>
        <w:t xml:space="preserve">Refines Step 1's preliminary Activity List estimates into full GSF/NSF/OSF/NOSF classification for Alternative B, using actual machine footprints from the Capacity &amp; Capacity Model Worksheet above. EPD = Value-Add SF ÷ OSF.</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1000"/>
        <w:gridCol w:w="1000"/>
        <w:gridCol w:w="1000"/>
        <w:gridCol w:w="1000"/>
        <w:gridCol w:w="1200"/>
        <w:gridCol w:w="1200"/>
      </w:tblGrid>
      <w:tr>
        <w:trPr>
          <w:cantSplit/>
          <w:tblHeader/>
        </w:trPr>
        <w:tc>
          <w:tcPr>
            <w:tcW w:type="dxa" w:w="26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Area / Department</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GSF</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NSF</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OSF</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NOSF</w:t>
            </w:r>
          </w:p>
        </w:tc>
        <w:tc>
          <w:tcPr>
            <w:tcW w:type="dxa" w:w="12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Value-Add SF</w:t>
            </w:r>
          </w:p>
        </w:tc>
        <w:tc>
          <w:tcPr>
            <w:tcW w:type="dxa" w:w="12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EPD</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Production (Lines 1-3 + Reflow/AOI)</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9,050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8,700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8,700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4,600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0.53</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950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900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250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0.28</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2,300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2,200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2,200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1,600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0.73</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 + Calibration Lab</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2,350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2,250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2,250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1,440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0.64</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Conformal Coating, Final QC/Pack &amp; Shipping</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1,600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1,500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1,500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550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0.37</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Maintenance / Spares</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320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300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0.27</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Offices, Break Room &amp; Restrooms (Admin/Support)</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1,930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1,850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1,850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0</w:t>
            </w:r>
          </w:p>
        </w:tc>
        <w:tc>
          <w:tcPr>
            <w:tcW w:type="dxa" w:w="12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r>
      <w:tr>
        <w:trPr>
          <w:cantSplit/>
        </w:trPr>
        <w:tc>
          <w:tcPr>
            <w:tcW w:type="dxa" w:w="26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TOTAL</w:t>
            </w:r>
          </w:p>
        </w:tc>
        <w:tc>
          <w:tcPr>
            <w:tcW w:type="dxa" w:w="10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18,500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17,700</w:t>
            </w:r>
          </w:p>
        </w:tc>
        <w:tc>
          <w:tcPr>
            <w:tcW w:type="dxa" w:w="10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15,850</w:t>
            </w:r>
          </w:p>
        </w:tc>
        <w:tc>
          <w:tcPr>
            <w:tcW w:type="dxa" w:w="10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1,850</w:t>
            </w:r>
          </w:p>
        </w:tc>
        <w:tc>
          <w:tcPr>
            <w:tcW w:type="dxa" w:w="12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8,520</w:t>
            </w:r>
          </w:p>
        </w:tc>
        <w:tc>
          <w:tcPr>
            <w:tcW w:type="dxa" w:w="1200"/>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w:t>
            </w:r>
          </w:p>
        </w:tc>
      </w:tr>
    </w:tbl>
    <w:p>
      <w:pPr>
        <w:spacing w:after="140"/>
      </w:pPr>
      <w:r>
        <w:rPr>
          <w:rFonts w:ascii="Calibri" w:cs="Calibri" w:eastAsia="Calibri" w:hAnsi="Calibri"/>
          <w:i/>
          <w:iCs/>
          <w:color w:val="5C574A"/>
          <w:sz w:val="18"/>
          <w:szCs w:val="18"/>
        </w:rPr>
        <w:t xml:space="preserve">Total GSF lands at 18,500 — Step 1's preliminary interior sum was 12,800 SF, and the gap is the Offices, Break Room &amp; Restrooms allowance (not itemized on Step 1's Activity List — the first point NOSF gets classified at all) plus each area's Step 5 corridor/structure share. Overall EPD is 8,520 ÷ 15,850 ≈ 0.54; the TOTAL row leaves EPD blank rather than averaging percentages across areas with very different footprints.</w:t>
      </w:r>
    </w:p>
    <w:p>
      <w:pPr>
        <w:keepNext/>
        <w:spacing w:after="80"/>
      </w:pPr>
      <w:r>
        <w:rPr>
          <w:rFonts w:ascii="Calibri" w:cs="Calibri" w:eastAsia="Calibri" w:hAnsi="Calibri"/>
          <w:b/>
          <w:bCs/>
          <w:color w:val="1F3864"/>
          <w:sz w:val="23"/>
          <w:szCs w:val="23"/>
        </w:rPr>
        <w:t xml:space="preserve">Relationship Chart Worksheet — Step 5 Refinement (Non-Flow)</w:t>
      </w:r>
    </w:p>
    <w:p>
      <w:pPr>
        <w:spacing w:after="140"/>
      </w:pPr>
      <w:r>
        <w:rPr>
          <w:rFonts w:ascii="Calibri" w:cs="Calibri" w:eastAsia="Calibri" w:hAnsi="Calibri"/>
          <w:i/>
          <w:iCs/>
          <w:color w:val="666666"/>
          <w:sz w:val="18"/>
          <w:szCs w:val="18"/>
        </w:rPr>
        <w:t xml:space="preserve">Revisits Template 4 rather than starting a new one, per the Facilitator Guide. Six pairs shown: three new pairs for the Offices, Break Room &amp; Restrooms area the Space &amp; Density Worksheet just classified, and three confirmations against Alternative B, rated on reason codes 2-7 now that Detailed Flow above has quantified flow (code 1) on its own.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1100"/>
        <w:gridCol w:w="1000"/>
        <w:gridCol w:w="3500"/>
      </w:tblGrid>
      <w:tr>
        <w:trPr>
          <w:cantSplit/>
          <w:tblHeader/>
        </w:trPr>
        <w:tc>
          <w:tcPr>
            <w:tcW w:type="dxa" w:w="17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From Area</w:t>
            </w:r>
          </w:p>
        </w:tc>
        <w:tc>
          <w:tcPr>
            <w:tcW w:type="dxa" w:w="17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To Area</w:t>
            </w:r>
          </w:p>
        </w:tc>
        <w:tc>
          <w:tcPr>
            <w:tcW w:type="dxa" w:w="11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Rating</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Reason Code(s)</w:t>
            </w:r>
          </w:p>
        </w:tc>
        <w:tc>
          <w:tcPr>
            <w:tcW w:type="dxa" w:w="35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Notes</w:t>
            </w:r>
          </w:p>
        </w:tc>
      </w:tr>
      <w:tr>
        <w:trPr>
          <w:cantSplit/>
        </w:trPr>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Offices, Break Room &amp; Restrooms (Admin/Support)</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11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w:t>
            </w:r>
          </w:p>
        </w:tc>
        <w:tc>
          <w:tcPr>
            <w:tcW w:type="dxa" w:w="3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Supervisors need visual/walking access to the production floor</w:t>
            </w:r>
          </w:p>
        </w:tc>
      </w:tr>
      <w:tr>
        <w:trPr>
          <w:cantSplit/>
        </w:trPr>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Offices, Break Room &amp; Restrooms (Admin/Support)</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11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w:t>
            </w:r>
          </w:p>
        </w:tc>
        <w:tc>
          <w:tcPr>
            <w:tcW w:type="dxa" w:w="3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Test Engineering leads work closely with Quality supervision</w:t>
            </w:r>
          </w:p>
        </w:tc>
      </w:tr>
      <w:tr>
        <w:trPr>
          <w:cantSplit/>
        </w:trPr>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Offices, Break Room &amp; Restrooms (Admin/Support)</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Employee Entrance (east gate)</w:t>
            </w:r>
          </w:p>
        </w:tc>
        <w:tc>
          <w:tcPr>
            <w:tcW w:type="dxa" w:w="11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5</w:t>
            </w:r>
          </w:p>
        </w:tc>
        <w:tc>
          <w:tcPr>
            <w:tcW w:type="dxa" w:w="3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Located along the main employee walk-in path</w:t>
            </w:r>
          </w:p>
        </w:tc>
      </w:tr>
      <w:tr>
        <w:trPr>
          <w:cantSplit/>
        </w:trPr>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Lab</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1</w:t>
            </w:r>
          </w:p>
        </w:tc>
        <w:tc>
          <w:tcPr>
            <w:tcW w:type="dxa" w:w="11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X (resolved)</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6</w:t>
            </w:r>
          </w:p>
        </w:tc>
        <w:tc>
          <w:tcPr>
            <w:tcW w:type="dxa" w:w="3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Alternative B routes this pair through a full-height corridor — physical separation satisfies the rating; it's not a layout compromise</w:t>
            </w:r>
          </w:p>
        </w:tc>
      </w:tr>
      <w:tr>
        <w:trPr>
          <w:cantSplit/>
        </w:trPr>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Maintenance / Spares</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3 (New)</w:t>
            </w:r>
          </w:p>
        </w:tc>
        <w:tc>
          <w:tcPr>
            <w:tcW w:type="dxa" w:w="11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I</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2, 5</w:t>
            </w:r>
          </w:p>
        </w:tc>
        <w:tc>
          <w:tcPr>
            <w:tcW w:type="dxa" w:w="3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Confirmed — frequent service calls carry into the new line unchanged</w:t>
            </w:r>
          </w:p>
        </w:tc>
      </w:tr>
      <w:tr>
        <w:trPr>
          <w:cantSplit/>
        </w:trPr>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3 (New)</w:t>
            </w:r>
          </w:p>
        </w:tc>
        <w:tc>
          <w:tcPr>
            <w:tcW w:type="dxa" w:w="11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w:t>
            </w:r>
          </w:p>
        </w:tc>
        <w:tc>
          <w:tcPr>
            <w:tcW w:type="dxa" w:w="3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Confirmed — direct material feed, now measured on the Flow &amp; Travel-Distance Tracker above rather than assumed</w:t>
            </w:r>
          </w:p>
        </w:tc>
      </w:tr>
    </w:tbl>
    <w:p>
      <w:pPr>
        <w:keepNext/>
        <w:spacing w:after="80"/>
      </w:pPr>
      <w:r>
        <w:rPr>
          <w:rFonts w:ascii="Calibri" w:cs="Calibri" w:eastAsia="Calibri" w:hAnsi="Calibri"/>
          <w:b/>
          <w:bCs/>
          <w:color w:val="1F3864"/>
          <w:sz w:val="23"/>
          <w:szCs w:val="23"/>
        </w:rPr>
        <w:t xml:space="preserve">12. Utility Requirements Matrix</w:t>
      </w:r>
    </w:p>
    <w:p>
      <w:pPr>
        <w:spacing w:after="140"/>
      </w:pPr>
      <w:r>
        <w:rPr>
          <w:rFonts w:ascii="Calibri" w:cs="Calibri" w:eastAsia="Calibri" w:hAnsi="Calibri"/>
          <w:i/>
          <w:iCs/>
          <w:color w:val="666666"/>
          <w:sz w:val="18"/>
          <w:szCs w:val="18"/>
        </w:rPr>
        <w:t xml:space="preserve">Sized against the actual resource/equipment counts on the Capacity &amp; Capacity Model Worksheet above, area by area, so MEP engineers aren't guessing at Handoff.</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900"/>
        <w:gridCol w:w="1700"/>
        <w:gridCol w:w="1500"/>
        <w:gridCol w:w="1400"/>
        <w:gridCol w:w="1500"/>
        <w:gridCol w:w="1000"/>
      </w:tblGrid>
      <w:tr>
        <w:trPr>
          <w:cantSplit/>
          <w:tblHeader/>
        </w:trPr>
        <w:tc>
          <w:tcPr>
            <w:tcW w:type="dxa" w:w="19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Area / Equipment</w:t>
            </w:r>
          </w:p>
        </w:tc>
        <w:tc>
          <w:tcPr>
            <w:tcW w:type="dxa" w:w="17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Electrical (V/Phase/Amps)</w:t>
            </w:r>
          </w:p>
        </w:tc>
        <w:tc>
          <w:tcPr>
            <w:tcW w:type="dxa" w:w="15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Compressed Air</w:t>
            </w:r>
          </w:p>
        </w:tc>
        <w:tc>
          <w:tcPr>
            <w:tcW w:type="dxa" w:w="14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Water / Drain</w:t>
            </w:r>
          </w:p>
        </w:tc>
        <w:tc>
          <w:tcPr>
            <w:tcW w:type="dxa" w:w="15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HVAC / Exhaust</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Other</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SMT Placement Line 3 (New) — pick-and-place &amp; stencil printer</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208V / 3-Ph / 60A, dedicated</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Filtered/regulated, 90 psi, 3/8" drop at printer</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None</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Standard SMT-floor HVAC, 30-60% RH per Directives Log</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ESD flooring/grounding tie-in</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Reflow Oven (SMT Line 3)</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208V / 3-Ph / 100A, dedicated</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Dedicated exhaust hood to rooftop unit, sized for reflow off-gas</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Overhead drop only — no floor utilities, per Directives Log</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AOI Inspection System (2nd unit)</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120V / 1-Ph / 20A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Standard SMT-floor HVAC</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Overhead network drop for MES integration</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Functional Test Stations (4 new)</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120V / 1-Ph / 20A per station (4 circuits)</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Standard light-industrial HVAC</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Dedicated network drop per station</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Kitting / Component Staging</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120V / 1-Ph / 20A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Standard SMT-floor HVAC</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None</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Hand Assembly (Through-Hole)</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120V / 1-Ph / 20A per 4 stations</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Filtered air at rework stations, 90 psi</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Solder fume extraction at every station, per Directives Log</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None</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Conformal Coating Booth</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208V / 3-Ph / 30A</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Filtered/regulated, 90 psi for spray application</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Floor drain for booth washdown</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Dedicated VOC-rated exhaust to rooftop unit</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Cure oven interlock wiring</w:t>
            </w:r>
          </w:p>
        </w:tc>
      </w:tr>
      <w:tr>
        <w:trPr>
          <w:cantSplit/>
        </w:trPr>
        <w:tc>
          <w:tcPr>
            <w:tcW w:type="dxa" w:w="19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Offices, Break Room &amp; Restrooms (Admin/Support)</w:t>
            </w:r>
          </w:p>
        </w:tc>
        <w:tc>
          <w:tcPr>
            <w:tcW w:type="dxa" w:w="1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120V / 1-Ph, standard branch circuits</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N/A</w:t>
            </w:r>
          </w:p>
        </w:tc>
        <w:tc>
          <w:tcPr>
            <w:tcW w:type="dxa" w:w="14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Restroom &amp; break-room fixtures, standard plumbing</w:t>
            </w:r>
          </w:p>
        </w:tc>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Standard office HVAC, separate zone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None</w:t>
            </w:r>
          </w:p>
        </w:tc>
      </w:tr>
    </w:tbl>
    <w:p>
      <w:pPr>
        <w:keepNext/>
        <w:spacing w:after="80"/>
      </w:pPr>
      <w:r>
        <w:rPr>
          <w:rFonts w:ascii="Calibri" w:cs="Calibri" w:eastAsia="Calibri" w:hAnsi="Calibri"/>
          <w:b/>
          <w:bCs/>
          <w:color w:val="1F3864"/>
          <w:sz w:val="23"/>
          <w:szCs w:val="23"/>
        </w:rPr>
        <w:t xml:space="preserve">Detailed 3D Layout — Step 5 Narrative Note</w:t>
      </w:r>
    </w:p>
    <w:p>
      <w:pPr>
        <w:spacing w:after="140"/>
      </w:pPr>
      <w:r>
        <w:rPr>
          <w:rFonts w:ascii="Calibri" w:cs="Calibri" w:eastAsia="Calibri" w:hAnsi="Calibri"/>
          <w:i/>
          <w:iCs/>
          <w:color w:val="666666"/>
          <w:sz w:val="18"/>
          <w:szCs w:val="18"/>
        </w:rPr>
        <w:t xml:space="preserve">No fillable table for this component — a narrative note, per the Facilitator Guide.</w:t>
      </w:r>
    </w:p>
    <w:p>
      <w:pPr>
        <w:spacing w:after="180"/>
      </w:pPr>
      <w:r>
        <w:rPr>
          <w:rFonts w:ascii="Calibri" w:cs="Calibri" w:eastAsia="Calibri" w:hAnsi="Calibri"/>
          <w:color w:val="222222"/>
          <w:sz w:val="21"/>
          <w:szCs w:val="21"/>
        </w:rPr>
        <w:t xml:space="preserve">Alternative B's architectural-shell model from Step 2 (walls, doors, windows, columns only) now has the actual equipment placed in it, now that Capacity Planning has said exactly how much there is: the 3rd SMT placement line (pick-and-place, stencil printer, reflow oven) in the north bay, the 2nd AOI inspection system in-line behind it, the 4 new functional test stations in the relocated Test Lab, and the full-height corridor separating Test from the SMT floor. The model is kept with the project file as a separate CAD/BIM deliverable, cross-referenced on the Package Checklist below — it isn't reproduced as a Word table.</w:t>
      </w:r>
    </w:p>
    <w:p>
      <w:pPr>
        <w:spacing w:after="180"/>
      </w:pPr>
      <w:r>
        <w:rPr>
          <w:rFonts w:ascii="Calibri" w:cs="Calibri" w:eastAsia="Calibri" w:hAnsi="Calibri"/>
          <w:color w:val="222222"/>
          <w:sz w:val="21"/>
          <w:szCs w:val="21"/>
        </w:rPr>
        <w:t xml:space="preserve">Separately — a site-level check, not detailed operational design proper — the Site &amp; Circulation Flow Worksheet from Step 1 was revisited against Alternative B: the truck court, employee and visitor gates, and the guard building all sit clear of the north-bay addition footprint, so Part A and Part B both hold unchanged from Step 1.</w:t>
      </w:r>
    </w:p>
    <w:p>
      <w:pPr>
        <w:keepNext/>
        <w:spacing w:after="100"/>
      </w:pPr>
      <w:r>
        <w:rPr>
          <w:rFonts w:ascii="Calibri" w:cs="Calibri" w:eastAsia="Calibri" w:hAnsi="Calibri"/>
          <w:b/>
          <w:bCs/>
          <w:color w:val="B5892B"/>
          <w:sz w:val="20"/>
          <w:szCs w:val="20"/>
        </w:rPr>
        <w:t xml:space="preserve">STEP 6 — PACKAGE</w:t>
      </w:r>
    </w:p>
    <w:p>
      <w:pPr>
        <w:spacing w:after="180"/>
      </w:pPr>
      <w:r>
        <w:rPr>
          <w:rFonts w:ascii="Calibri" w:cs="Calibri" w:eastAsia="Calibri" w:hAnsi="Calibri"/>
          <w:color w:val="222222"/>
          <w:sz w:val="21"/>
          <w:szCs w:val="21"/>
        </w:rPr>
        <w:t xml:space="preserve">Everything assembled into one package on August 15, 2026 — nothing scattered across emails — and checked off before Handoff.</w:t>
      </w:r>
    </w:p>
    <w:p>
      <w:pPr>
        <w:keepNext/>
        <w:spacing w:after="80"/>
      </w:pPr>
      <w:r>
        <w:rPr>
          <w:rFonts w:ascii="Calibri" w:cs="Calibri" w:eastAsia="Calibri" w:hAnsi="Calibri"/>
          <w:b/>
          <w:bCs/>
          <w:color w:val="1F3864"/>
          <w:sz w:val="23"/>
          <w:szCs w:val="23"/>
        </w:rPr>
        <w:t xml:space="preserve">13. Package Checklist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300"/>
        <w:gridCol w:w="1000"/>
        <w:gridCol w:w="2700"/>
      </w:tblGrid>
      <w:tr>
        <w:trPr>
          <w:cantSplit/>
          <w:tblHeader/>
        </w:trPr>
        <w:tc>
          <w:tcPr>
            <w:tcW w:type="dxa" w:w="53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Item</w:t>
            </w:r>
          </w:p>
        </w:tc>
        <w:tc>
          <w:tcPr>
            <w:tcW w:type="dxa" w:w="10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Included (☑)</w:t>
            </w:r>
          </w:p>
        </w:tc>
        <w:tc>
          <w:tcPr>
            <w:tcW w:type="dxa" w:w="2700"/>
            <w:shd w:fill="1F3864"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FFFFFF"/>
                <w:sz w:val="18"/>
                <w:szCs w:val="18"/>
              </w:rPr>
              <w:t xml:space="preserve">Notes</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Executive Design Directives &amp; Constraints Log (every row shows "Addressed Where")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4 of 5 directives closed; the overhead-utilities directive stays "pending confirmation against selected layout" — the Utility Requirements Matrix above shows it satisfied, but formal confirmation happens in Phase 3, per the Directives Log's own Status column</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Activity List &amp; Space Requirements Worksheet (interior and exterior/site areas)</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Step 1</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Relationship Chart Worksheet (refined against selected layout)</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Refined in Step 5 above</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Site &amp; Circulation Flow Worksheet (vehicle circulation + high-level people/material flow, refined against selected layout)</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Confirmed unchanged against Alternative B — see the Step 5 Detailed 3D Layout note</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Block Layout Plan (selected alternative — includes site plan)</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Alternative B — North Bay Addition with Test Lab Relocation</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Block Layout Alternative Summary (all alternatives considered)</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Alternatives A and B</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Weighted-Factor Scorecard (Excel tool — FRF_Phase2_Weighted_Scorecard.xlsx, completed)</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 = 64.4, B = 74.5, 15.7% margin</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Selection Decision Record</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Signed July 14, 2026</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Capacity &amp; Capacity Model Worksheet (exact resource/equipment counts per type)</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 net new machines</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Space &amp; Density Worksheet (GSF/NSF/OSF/NOSF + EPD)</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18,500 GSF, overall EPD 0.54</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Flow &amp; Travel-Distance Tracker</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10.6% aggregate travel reduction</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Utility Requirements Matrix</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8 rows, sized against net-new resource/equipment count</w:t>
            </w:r>
          </w:p>
        </w:tc>
      </w:tr>
      <w:tr>
        <w:trPr>
          <w:cantSplit/>
        </w:trPr>
        <w:tc>
          <w:tcPr>
            <w:tcW w:type="dxa" w:w="53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Detailed 3D Layout — architectural shell (Step 2: walls, doors, windows, columns) + equipment (Step 5), if a 3D model was built</w:t>
            </w:r>
          </w:p>
        </w:tc>
        <w:tc>
          <w:tcPr>
            <w:tcW w:type="dxa" w:w="10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w:t>
            </w:r>
          </w:p>
        </w:tc>
        <w:tc>
          <w:tcPr>
            <w:tcW w:type="dxa" w:w="2700"/>
            <w:tcMar>
              <w:top w:type="dxa" w:w="100"/>
              <w:left w:type="dxa" w:w="120"/>
              <w:bottom w:type="dxa" w:w="100"/>
              <w:right w:type="dxa" w:w="120"/>
            </w:tcMar>
            <w:vAlign w:val="center"/>
          </w:tcPr>
          <w:p>
            <w:pPr>
              <w:spacing w:after="0"/>
            </w:pPr>
            <w:r>
              <w:rPr>
                <w:rFonts w:ascii="Calibri" w:cs="Calibri" w:eastAsia="Calibri" w:hAnsi="Calibri"/>
                <w:b w:val="false"/>
                <w:bCs w:val="false"/>
                <w:i w:val="false"/>
                <w:iCs w:val="false"/>
                <w:color w:val="1F3864"/>
                <w:sz w:val="18"/>
                <w:szCs w:val="18"/>
              </w:rPr>
              <w:t xml:space="preserve">Alternative B shell + Step 5 equipment</w:t>
            </w:r>
          </w:p>
        </w:tc>
      </w:tr>
    </w:tbl>
    <w:p>
      <w:pPr>
        <w:keepNext/>
        <w:spacing w:after="100"/>
      </w:pPr>
      <w:r>
        <w:rPr>
          <w:rFonts w:ascii="Calibri" w:cs="Calibri" w:eastAsia="Calibri" w:hAnsi="Calibri"/>
          <w:b/>
          <w:bCs/>
          <w:color w:val="B5892B"/>
          <w:sz w:val="20"/>
          <w:szCs w:val="20"/>
        </w:rPr>
        <w:t xml:space="preserve">STEP 7 — HANDOFF</w:t>
      </w:r>
    </w:p>
    <w:p>
      <w:pPr>
        <w:spacing w:after="180"/>
      </w:pPr>
      <w:r>
        <w:rPr>
          <w:rFonts w:ascii="Calibri" w:cs="Calibri" w:eastAsia="Calibri" w:hAnsi="Calibri"/>
          <w:color w:val="222222"/>
          <w:sz w:val="21"/>
          <w:szCs w:val="21"/>
        </w:rPr>
        <w:t>The concept package delivered to the architect and MEP engineers for technical validation, estimating, scheduling, and permitting input, and the Gate 2 decision run in person with the Facilities Director on August 18, 2026 — the date that closes Phase 2.</w:t>
      </w:r>
    </w:p>
    <w:p>
      <w:pPr>
        <w:keepNext/>
        <w:spacing w:after="80"/>
      </w:pPr>
      <w:r>
        <w:rPr>
          <w:rFonts w:ascii="Calibri" w:cs="Calibri" w:eastAsia="Calibri" w:hAnsi="Calibri"/>
          <w:b/>
          <w:bCs/>
          <w:color w:val="1F3864"/>
          <w:sz w:val="23"/>
          <w:szCs w:val="23"/>
        </w:rPr>
        <w:t xml:space="preserve">Handoff Note to Architect / MEP Engineers — Narrative</w:t>
      </w:r>
    </w:p>
    <w:p>
      <w:pPr>
        <w:spacing w:after="180"/>
      </w:pPr>
      <w:r>
        <w:rPr>
          <w:rFonts w:ascii="Calibri" w:cs="Calibri" w:eastAsia="Calibri" w:hAnsi="Calibri"/>
          <w:color w:val="222222"/>
          <w:sz w:val="21"/>
          <w:szCs w:val="21"/>
        </w:rPr>
        <w:t>To: [Architect Firm], [MEP Engineering Firm]  ·  From: R. Owens, Veritas Concept Engineering  ·  Date: August 20, 2026  ·  Re: SMT Assembly &amp; Test Line Expansion — Building 2 — Phase 2 Concept Package for Technical Validation</w:t>
      </w:r>
    </w:p>
    <w:p>
      <w:pPr>
        <w:spacing w:after="180"/>
      </w:pPr>
      <w:r>
        <w:rPr>
          <w:rFonts w:ascii="Calibri" w:cs="Calibri" w:eastAsia="Calibri" w:hAnsi="Calibri"/>
          <w:color w:val="222222"/>
          <w:sz w:val="21"/>
          <w:szCs w:val="21"/>
        </w:rPr>
        <w:t>Attached is the complete Phase 2 package for the Building 2 SMT expansion, gated and approved August 18, 2026 (Gate 2 Decision Record enclosed). The selected layout is Alternative B — a new north bay addition to the existing Building 2 shell, adding the 3rd SMT placement line in line with Kitting and Reflow/AOI, and relocating the Functional Test Lab adjacent to Hand Assembly, separated from the SMT floor by a full-height corridor. 8 net-new machines are specified on the Capacity &amp; Capacity Model Worksheet; utility loads for each are sized on the Utility Requirements Matrix. One executive directive remains open for your scope specifically: confirm the 100% overhead utility distribution shown on the Utility Requirements Matrix is fully buildable within the new bay's structural clear height before your technical review proceeds far. All other directives on the Executive Design Directives &amp; Constraints Log are closed. Please begin your technical validation and estimating work from the enclosed package rather than re-deriving layout logic — Alternative B's reasoning, and Alternative A's, are both in the Block Layout Alternative Summary if useful context on what wasn't selected and why.</w:t>
      </w:r>
    </w:p>
    <w:p>
      <w:pPr>
        <w:keepNext/>
        <w:spacing w:after="80"/>
      </w:pPr>
      <w:r>
        <w:rPr>
          <w:rFonts w:ascii="Calibri" w:cs="Calibri" w:eastAsia="Calibri" w:hAnsi="Calibri"/>
          <w:b/>
          <w:bCs/>
          <w:color w:val="1F3864"/>
          <w:sz w:val="23"/>
          <w:szCs w:val="23"/>
        </w:rPr>
        <w:t xml:space="preserve">14. Gate 2 Decision Record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Project / Initiative Name</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SMT Assembly &amp; Test Line Expansion — Building 2</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Gate Question — has the operational basis been engineered, documented, and accepted by the people who will operate the facility?</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Yes.</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Decision — mark one:  ☐ Approved, proceed to Phase 3 / ☐ More information needed / ☐ Project stopped</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Approved, proceed to Phase 3 (this box checked)</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Rationale</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Alternative B was selected with a 15.7% scorecard margin over Alternative A; that margin does not trigger an additional sensitivity review based solely on score proximity. Capacity Planning fixes the scope at 8 net-new machines; Space &amp; Density lands the addition at 18,500 GSF with an overall Equipment Packing Density of 0.54; the Flow &amp; Travel-Distance Tracker shows a 10.6% aggregate travel reduction, with the one leg that gets longer (Hand Assembly to the relocated Test Lab) explained by the deliberate ESD/vibration separation, not an oversight. Four of five executive directives are fully closed; the fifth (overhead utilities) is satisfied on paper by the Utility Requirements Matrix but stays formally open for Phase 3 to confirm against firm vendor equipment, per the Directives Log's own Status column. Two different estimators could price construction and equipment from this package within a normal range of each other.</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Phase 3 Budget / Resources Authorized (if approved)</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$40,000 (cost estimating, scheduling, risk, and delivery-strategy work — Phase 3 engineering fees only, not construction)</w:t>
            </w:r>
          </w:p>
        </w:tc>
      </w:tr>
      <w:tr>
        <w:trPr>
          <w:cantSpli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val="true"/>
                <w:bCs w:val="true"/>
                <w:i w:val="false"/>
                <w:iCs w:val="false"/>
                <w:color w:val="222222"/>
                <w:sz w:val="18"/>
                <w:szCs w:val="18"/>
              </w:rPr>
              <w:t xml:space="preserve">Approved By — Name, Title, Signature, Date</w:t>
            </w:r>
          </w:p>
        </w:tc>
        <w:tc>
          <w:tcPr>
            <w:tcW w:type="dxa" w:w="6300"/>
            <w:tcMar>
              <w:top w:type="dxa" w:w="100"/>
              <w:left w:type="dxa" w:w="120"/>
              <w:bottom w:type="dxa" w:w="100"/>
              <w:right w:type="dxa" w:w="120"/>
            </w:tcMar>
            <w:vAlign w:val="top"/>
          </w:tcPr>
          <w:p>
            <w:pPr>
              <w:spacing w:after="0" w:line="276"/>
            </w:pPr>
            <w:r>
              <w:rPr>
                <w:rFonts w:ascii="Calibri" w:cs="Calibri" w:eastAsia="Calibri" w:hAnsi="Calibri"/>
                <w:b w:val="false"/>
                <w:bCs w:val="false"/>
                <w:i w:val="false"/>
                <w:iCs w:val="false"/>
                <w:color w:val="1F3864"/>
                <w:sz w:val="20"/>
                <w:szCs w:val="20"/>
              </w:rPr>
              <w:t xml:space="preserve">[Name], Facilities Director, [signature], August 18, 2026</w:t>
            </w:r>
          </w:p>
        </w:tc>
      </w:tr>
    </w:tbl>
    <w:p>
      <w:pPr>
        <w:spacing w:before="0" w:after="0"/>
        <w:rPr>
          <w:sz w:val="2"/>
        </w:rPr>
      </w:pPr>
    </w:p>
    <w:sectPr>
      <w:footerReference w:type="default" r:id="rId8"/>
      <w:pgSz w:w="12240" w:h="15840" w:orient="portrait"/>
      <w:pgMar w:top="1080" w:right="1260" w:bottom="1080" w:left="1260" w:header="708" w:footer="28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888888"/>
        <w:sz w:val="18"/>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2026-09-01T20:00:32.768Z</dcterms:created>
  <dcterms:modified xsi:type="dcterms:W3CDTF">2026-09-01T20:00:32.768Z</dcterms:modified>
</cp:coreProperties>
</file>

<file path=docProps/custom.xml><?xml version="1.0" encoding="utf-8"?>
<Properties xmlns="http://schemas.openxmlformats.org/officeDocument/2006/custom-properties" xmlns:vt="http://schemas.openxmlformats.org/officeDocument/2006/docPropsVTypes"/>
</file>