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3 OF 4 · PROVE THE NUMBERS</w:t>
      </w:r>
    </w:p>
    <w:p>
      <w:pPr>
        <w:spacing w:after="40"/>
      </w:pPr>
      <w:r>
        <w:rPr>
          <w:b/>
          <w:color w:val="1F2D3D"/>
          <w:sz w:val="40"/>
        </w:rPr>
        <w:t>Scope Basis Confirmation</w:t>
      </w:r>
    </w:p>
    <w:p>
      <w:pPr>
        <w:spacing w:after="240"/>
      </w:pPr>
      <w:r>
        <w:rPr>
          <w:i/>
          <w:color w:val="B8862E"/>
          <w:sz w:val="24"/>
        </w:rPr>
        <w:t>Phase 3 — Prove the Numbers (Gate 3: Numbers Proven)</w:t>
      </w:r>
    </w:p>
    <w:p>
      <w:pPr>
        <w:spacing w:after="160"/>
      </w:pPr>
      <w:r>
        <w:rPr>
          <w:b w:val="0"/>
          <w:i w:val="0"/>
          <w:sz w:val="19"/>
        </w:rPr>
        <w:t>Locks down exactly what's being priced, scheduled, and scored, pulled directly from Phase 2's approved package. A real scope change belongs in a reopened Gate 2 decision, not a quiet adjustment here.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Project / Initiative Name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Gate 2 Approval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Selected Block Layout Alternative (name/reference)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Total GSF (from Space &amp; Density Worksheet)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Total Net New Equipment/Resources (from Capacity Model Worksheet)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Executive Directives Still Open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Cross-check the Directives Log's Status column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Any Scope Changes Since Gate 2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Should be none; describe here if anything has changed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Prepared By /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