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3 OF 4 · PROVE THE NUMBERS</w:t>
      </w:r>
    </w:p>
    <w:p>
      <w:pPr>
        <w:spacing w:after="40"/>
      </w:pPr>
      <w:r>
        <w:rPr>
          <w:b/>
          <w:color w:val="1F2D3D"/>
          <w:sz w:val="40"/>
        </w:rPr>
        <w:t>Cost Estimate Summary</w:t>
      </w:r>
    </w:p>
    <w:p>
      <w:pPr>
        <w:spacing w:after="240"/>
      </w:pPr>
      <w:r>
        <w:rPr>
          <w:i/>
          <w:color w:val="B8862E"/>
          <w:sz w:val="24"/>
        </w:rPr>
        <w:t>Phase 3 — Prove the Numbers (Gate 3: Numbers Proven)</w:t>
      </w:r>
    </w:p>
    <w:p>
      <w:pPr>
        <w:spacing w:after="160"/>
      </w:pPr>
      <w:r>
        <w:rPr>
          <w:b w:val="0"/>
          <w:i w:val="0"/>
          <w:sz w:val="19"/>
        </w:rPr>
        <w:t>A scope-based estimate, not a round number — tied to the Activity List, Space &amp; Density Worksheet, and Capacity Model Worksheet from Phase 2, category by category. Size contingency to how firm the underlying scope actually is.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160"/>
        <w:gridCol w:w="1872"/>
        <w:gridCol w:w="1296"/>
        <w:gridCol w:w="1152"/>
        <w:gridCol w:w="1872"/>
      </w:tblGrid>
      <w:tr>
        <w:tc>
          <w:tcPr>
            <w:tcW w:type="dxa" w:w="1930"/>
            <w:shd w:val="clear" w:color="auto" w:fill="1F2D3D"/>
          </w:tcPr>
          <w:p>
            <w:r>
              <w:rPr>
                <w:b/>
                <w:color w:val="FFFFFF"/>
                <w:sz w:val="18"/>
              </w:rPr>
              <w:t>Cost Category</w:t>
            </w:r>
          </w:p>
        </w:tc>
        <w:tc>
          <w:tcPr>
            <w:tcW w:type="dxa" w:w="1930"/>
            <w:shd w:val="clear" w:color="auto" w:fill="1F2D3D"/>
          </w:tcPr>
          <w:p>
            <w:r>
              <w:rPr>
                <w:b/>
                <w:color w:val="FFFFFF"/>
                <w:sz w:val="18"/>
              </w:rPr>
              <w:t>Basis / Source</w:t>
            </w:r>
          </w:p>
        </w:tc>
        <w:tc>
          <w:tcPr>
            <w:tcW w:type="dxa" w:w="1930"/>
            <w:shd w:val="clear" w:color="auto" w:fill="1F2D3D"/>
          </w:tcPr>
          <w:p>
            <w:r>
              <w:rPr>
                <w:b/>
                <w:color w:val="FFFFFF"/>
                <w:sz w:val="18"/>
              </w:rPr>
              <w:t>Amount ($)</w:t>
            </w:r>
          </w:p>
        </w:tc>
        <w:tc>
          <w:tcPr>
            <w:tcW w:type="dxa" w:w="1930"/>
            <w:shd w:val="clear" w:color="auto" w:fill="1F2D3D"/>
          </w:tcPr>
          <w:p>
            <w:r>
              <w:rPr>
                <w:b/>
                <w:color w:val="FFFFFF"/>
                <w:sz w:val="18"/>
              </w:rPr>
              <w:t>% of Total</w:t>
            </w:r>
          </w:p>
        </w:tc>
        <w:tc>
          <w:tcPr>
            <w:tcW w:type="dxa" w:w="1930"/>
            <w:shd w:val="clear" w:color="auto" w:fill="1F2D3D"/>
          </w:tcPr>
          <w:p>
            <w:r>
              <w:rPr>
                <w:b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Site Work &amp; Civil</w:t>
            </w:r>
          </w:p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Building Shell / Renovation</w:t>
            </w:r>
          </w:p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Interior Fit-Out</w:t>
            </w:r>
          </w:p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Process Equipment &amp; Machinery (Net New)</w:t>
            </w:r>
          </w:p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Utilities &amp; MEP</w:t>
            </w:r>
          </w:p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Furniture, Fixtures &amp; Equipment (FF&amp;E)</w:t>
            </w:r>
          </w:p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Design &amp; Engineering Fees</w:t>
            </w:r>
          </w:p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Permits &amp; Fees</w:t>
            </w:r>
          </w:p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16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sz w:val="18"/>
              </w:rPr>
              <w:t>Contingency</w:t>
            </w:r>
          </w:p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87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160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</w:rPr>
              <w:t>TOTAL</w:t>
            </w:r>
          </w:p>
        </w:tc>
        <w:tc>
          <w:tcPr>
            <w:tcW w:type="dxa" w:w="1872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296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152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</w:rPr>
              <w:t>100%</w:t>
            </w:r>
          </w:p>
        </w:tc>
        <w:tc>
          <w:tcPr>
            <w:tcW w:type="dxa" w:w="1872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