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3 OF 4 · PROVE THE NUMBERS</w:t>
      </w:r>
    </w:p>
    <w:p>
      <w:pPr>
        <w:spacing w:after="40"/>
      </w:pPr>
      <w:r>
        <w:rPr>
          <w:b/>
          <w:color w:val="1F2D3D"/>
          <w:sz w:val="40"/>
        </w:rPr>
        <w:t>Schedule Summary &amp; Long-Lead Items Worksheet</w:t>
      </w:r>
    </w:p>
    <w:p>
      <w:pPr>
        <w:spacing w:after="240"/>
      </w:pPr>
      <w:r>
        <w:rPr>
          <w:i/>
          <w:color w:val="B8862E"/>
          <w:sz w:val="24"/>
        </w:rPr>
        <w:t>Phase 3 — Prove the Numbers (Gate 3: Numbers Proven)</w:t>
      </w:r>
    </w:p>
    <w:p>
      <w:pPr>
        <w:spacing w:after="160"/>
      </w:pPr>
      <w:r>
        <w:rPr>
          <w:b w:val="0"/>
          <w:i w:val="0"/>
          <w:sz w:val="19"/>
        </w:rPr>
        <w:t>Real durations, not a backward-planned date. Identify long-lead items specifically — the most common reason a schedule that looked fine on paper slips in execution.</w:t>
      </w:r>
    </w:p>
    <w:p>
      <w:pPr>
        <w:spacing w:before="280" w:after="120"/>
        <w:pBdr>
          <w:bottom w:val="single" w:sz="6" w:space="2" w:color="B8862E"/>
        </w:pBdr>
      </w:pPr>
      <w:r>
        <w:rPr>
          <w:b/>
          <w:color w:val="1F2D3D"/>
          <w:sz w:val="26"/>
        </w:rPr>
        <w:t>Milestone Schedule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72"/>
        <w:gridCol w:w="1152"/>
        <w:gridCol w:w="1296"/>
        <w:gridCol w:w="1296"/>
        <w:gridCol w:w="2304"/>
      </w:tblGrid>
      <w:tr>
        <w:tc>
          <w:tcPr>
            <w:tcW w:type="dxa" w:w="187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Milestone / Phase</w:t>
            </w:r>
          </w:p>
        </w:tc>
        <w:tc>
          <w:tcPr>
            <w:tcW w:type="dxa" w:w="115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Duration</w:t>
            </w:r>
          </w:p>
        </w:tc>
        <w:tc>
          <w:tcPr>
            <w:tcW w:type="dxa" w:w="1296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Target Start</w:t>
            </w:r>
          </w:p>
        </w:tc>
        <w:tc>
          <w:tcPr>
            <w:tcW w:type="dxa" w:w="1296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Target Finish</w:t>
            </w:r>
          </w:p>
        </w:tc>
        <w:tc>
          <w:tcPr>
            <w:tcW w:type="dxa" w:w="2304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Dependencies / Notes</w:t>
            </w:r>
          </w:p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>
      <w:pPr>
        <w:spacing w:before="280" w:after="120"/>
        <w:pBdr>
          <w:bottom w:val="single" w:sz="6" w:space="2" w:color="B8862E"/>
        </w:pBdr>
      </w:pPr>
      <w:r>
        <w:rPr>
          <w:b/>
          <w:color w:val="1F2D3D"/>
          <w:sz w:val="26"/>
        </w:rPr>
        <w:t>Long-Lead Items</w:t>
      </w:r>
    </w:p>
    <w:p>
      <w:pPr>
        <w:spacing w:after="160"/>
      </w:pPr>
      <w:r>
        <w:rPr>
          <w:b w:val="0"/>
          <w:i w:val="0"/>
          <w:sz w:val="18"/>
        </w:rPr>
        <w:t>Anything with an order-to-delivery time long enough to threaten the schedule if not started early.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92"/>
        <w:gridCol w:w="1728"/>
        <w:gridCol w:w="1728"/>
        <w:gridCol w:w="1872"/>
      </w:tblGrid>
      <w:tr>
        <w:tc>
          <w:tcPr>
            <w:tcW w:type="dxa" w:w="259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1728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Lead Time (weeks)</w:t>
            </w:r>
          </w:p>
        </w:tc>
        <w:tc>
          <w:tcPr>
            <w:tcW w:type="dxa" w:w="1728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Order-By Date</w:t>
            </w:r>
          </w:p>
        </w:tc>
        <w:tc>
          <w:tcPr>
            <w:tcW w:type="dxa" w:w="1872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25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5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5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5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5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5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72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