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3 OF 4 · PROVE THE NUMBERS</w:t>
      </w:r>
    </w:p>
    <w:p>
      <w:pPr>
        <w:spacing w:after="40"/>
      </w:pPr>
      <w:r>
        <w:rPr>
          <w:b/>
          <w:color w:val="1F2D3D"/>
          <w:sz w:val="40"/>
        </w:rPr>
        <w:t>Prove the Numbers</w:t>
      </w:r>
    </w:p>
    <w:p>
      <w:pPr>
        <w:spacing w:after="240"/>
      </w:pPr>
      <w:r>
        <w:rPr>
          <w:i/>
          <w:color w:val="B8862E"/>
          <w:sz w:val="24"/>
        </w:rPr>
        <w:t>Facility Readiness Framework — Phase 3 of 4</w:t>
      </w:r>
    </w:p>
    <w:p>
      <w:pPr>
        <w:spacing w:after="160"/>
      </w:pPr>
      <w:r>
        <w:rPr>
          <w:b w:val="0"/>
          <w:i w:val="0"/>
          <w:sz w:val="21"/>
        </w:rPr>
        <w:t>The scope Phase 2 defined gets priced, scheduled, risk-assessed, and scored — the point where a technically sound layout either holds up under financial and schedule scrutiny or doesn't. Steps 1-5 build the four Facility Readiness Score categories that don't exist yet; Step 6 scores all eight categories together, immediately before Gate 3; Step 7 is the formal decision.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7F7F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40"/>
            </w:pPr>
            <w:r>
              <w:rPr>
                <w:b/>
                <w:color w:val="B8862E"/>
                <w:sz w:val="16"/>
              </w:rPr>
              <w:t>GATE 3</w:t>
            </w:r>
          </w:p>
          <w:p>
            <w:pPr>
              <w:spacing w:after="40"/>
            </w:pPr>
            <w:r>
              <w:rPr>
                <w:b/>
                <w:i w:val="0"/>
                <w:sz w:val="20"/>
              </w:rPr>
              <w:t>Numbers Proven</w:t>
            </w:r>
          </w:p>
        </w:tc>
        <w:tc>
          <w:tcPr>
            <w:tcW w:type="dxa" w:w="4824"/>
            <w:shd w:val="clear" w:color="auto" w:fill="F7F7F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40"/>
            </w:pPr>
            <w:r>
              <w:rPr>
                <w:b/>
                <w:color w:val="B8862E"/>
                <w:sz w:val="16"/>
              </w:rPr>
              <w:t>ACCOUNTABLE</w:t>
            </w:r>
          </w:p>
          <w:p>
            <w:pPr>
              <w:spacing w:after="40"/>
            </w:pPr>
            <w:r>
              <w:rPr>
                <w:b/>
                <w:i w:val="0"/>
                <w:sz w:val="20"/>
              </w:rPr>
              <w:t>The CFO or finance lead and the facilities director, jointly</w:t>
            </w:r>
          </w:p>
        </w:tc>
      </w:tr>
      <w:tr>
        <w:tc>
          <w:tcPr>
            <w:tcW w:type="dxa" w:w="4824"/>
            <w:shd w:val="clear" w:color="auto" w:fill="F7F7F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40"/>
            </w:pPr>
            <w:r>
              <w:rPr>
                <w:b/>
                <w:color w:val="B8862E"/>
                <w:sz w:val="16"/>
              </w:rPr>
              <w:t>GATE QUESTION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Is every number in this package — cost, schedule, risk — traceable to a real basis, and does the Facility Readiness Score reflect that honestly?</w:t>
            </w:r>
          </w:p>
        </w:tc>
        <w:tc>
          <w:tcPr>
            <w:tcW w:type="dxa" w:w="4824"/>
            <w:shd w:val="clear" w:color="auto" w:fill="F7F7F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40"/>
            </w:pPr>
            <w:r>
              <w:rPr>
                <w:b/>
                <w:color w:val="B8862E"/>
                <w:sz w:val="16"/>
              </w:rPr>
              <w:t>WHAT ACTUALLY GETS SKIPPED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An unvalidated budget or an imposed schedule carried into a board presentation as if it were real — the same capital a project is about to ask for, gambled against numbers nobody actually built.</w:t>
            </w:r>
          </w:p>
        </w:tc>
      </w:tr>
    </w:tbl>
    <w:p>
      <w:pPr>
        <w:spacing w:after="80"/>
      </w:pPr>
    </w:p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Running the Gate</w:t>
      </w:r>
    </w:p>
    <w:p>
      <w:pPr>
        <w:spacing w:after="160"/>
      </w:pPr>
      <w:r>
        <w:rPr>
          <w:b w:val="0"/>
          <w:i w:val="0"/>
          <w:sz w:val="19"/>
        </w:rPr>
        <w:t>Steps in order, facilitated by you or the owner's project lead. Each form named below is its own standalone document in this phase's Forms folder.</w:t>
      </w:r>
    </w:p>
    <w:p>
      <w:pPr>
        <w:spacing w:before="160" w:after="40"/>
      </w:pPr>
      <w:r>
        <w:rPr>
          <w:b/>
          <w:color w:val="B8862E"/>
        </w:rPr>
        <w:t xml:space="preserve">1.  </w:t>
      </w:r>
      <w:r>
        <w:rPr>
          <w:b/>
          <w:i w:val="0"/>
          <w:sz w:val="22"/>
        </w:rPr>
        <w:t>Confirm — lock the scope basis</w:t>
      </w:r>
    </w:p>
    <w:p>
      <w:pPr>
        <w:spacing w:after="40"/>
        <w:ind w:left="360"/>
      </w:pPr>
      <w:r>
        <w:rPr>
          <w:b w:val="0"/>
          <w:i w:val="0"/>
          <w:sz w:val="20"/>
        </w:rPr>
        <w:t>Pull forward the Gate 2 Decision Record, the selected Block Layout Alternative, and the Capacity Model Worksheet. This is the scope, not a topic for renegotiation — a real change belongs in a reopened Gate 2 decision.</w:t>
      </w:r>
    </w:p>
    <w:p>
      <w:pPr>
        <w:spacing w:after="120"/>
        <w:ind w:left="360"/>
      </w:pPr>
      <w:r>
        <w:rPr>
          <w:i/>
          <w:color w:val="1F2D3D"/>
          <w:sz w:val="18"/>
        </w:rPr>
        <w:t>→ Form: Scope Basis Confirmation</w:t>
      </w:r>
    </w:p>
    <w:p>
      <w:pPr>
        <w:spacing w:before="160" w:after="40"/>
      </w:pPr>
      <w:r>
        <w:rPr>
          <w:b/>
          <w:color w:val="B8862E"/>
        </w:rPr>
        <w:t xml:space="preserve">2.  </w:t>
      </w:r>
      <w:r>
        <w:rPr>
          <w:b/>
          <w:i w:val="0"/>
          <w:sz w:val="22"/>
        </w:rPr>
        <w:t>Estimate — price the confirmed scope for real</w:t>
      </w:r>
    </w:p>
    <w:p>
      <w:pPr>
        <w:spacing w:after="40"/>
        <w:ind w:left="360"/>
      </w:pPr>
      <w:r>
        <w:rPr>
          <w:b w:val="0"/>
          <w:i w:val="0"/>
          <w:sz w:val="20"/>
        </w:rPr>
        <w:t>Get a scope-based cost estimate tied to the Activity List, Space &amp; Density, and Capacity Model worksheets — not a per-square-foot rule of thumb. Size contingency to how firm the scope actually is.</w:t>
      </w:r>
    </w:p>
    <w:p>
      <w:pPr>
        <w:spacing w:after="120"/>
        <w:ind w:left="360"/>
      </w:pPr>
      <w:r>
        <w:rPr>
          <w:i/>
          <w:color w:val="1F2D3D"/>
          <w:sz w:val="18"/>
        </w:rPr>
        <w:t>→ Form: Cost Estimate Summary</w:t>
      </w:r>
    </w:p>
    <w:p>
      <w:pPr>
        <w:spacing w:before="160" w:after="40"/>
      </w:pPr>
      <w:r>
        <w:rPr>
          <w:b/>
          <w:color w:val="B8862E"/>
        </w:rPr>
        <w:t xml:space="preserve">3.  </w:t>
      </w:r>
      <w:r>
        <w:rPr>
          <w:b/>
          <w:i w:val="0"/>
          <w:sz w:val="22"/>
        </w:rPr>
        <w:t>Schedule — build real durations, not an imposed date</w:t>
      </w:r>
    </w:p>
    <w:p>
      <w:pPr>
        <w:spacing w:after="40"/>
        <w:ind w:left="360"/>
      </w:pPr>
      <w:r>
        <w:rPr>
          <w:b w:val="0"/>
          <w:i w:val="0"/>
          <w:sz w:val="20"/>
        </w:rPr>
        <w:t>Build a schedule from actual activity durations. Identify long-lead items specifically — the most common reason a schedule that looked fine on paper slips in execution.</w:t>
      </w:r>
    </w:p>
    <w:p>
      <w:pPr>
        <w:spacing w:after="120"/>
        <w:ind w:left="360"/>
      </w:pPr>
      <w:r>
        <w:rPr>
          <w:i/>
          <w:color w:val="1F2D3D"/>
          <w:sz w:val="18"/>
        </w:rPr>
        <w:t>→ Form: Schedule Summary &amp; Long-Lead Items Worksheet</w:t>
      </w:r>
    </w:p>
    <w:p>
      <w:pPr>
        <w:spacing w:before="160" w:after="40"/>
      </w:pPr>
      <w:r>
        <w:rPr>
          <w:b/>
          <w:color w:val="B8862E"/>
        </w:rPr>
        <w:t xml:space="preserve">4.  </w:t>
      </w:r>
      <w:r>
        <w:rPr>
          <w:b/>
          <w:i w:val="0"/>
          <w:sz w:val="22"/>
        </w:rPr>
        <w:t>Assess — build the risk list and approval map, honestly</w:t>
      </w:r>
    </w:p>
    <w:p>
      <w:pPr>
        <w:spacing w:after="40"/>
        <w:ind w:left="360"/>
      </w:pPr>
      <w:r>
        <w:rPr>
          <w:b w:val="0"/>
          <w:i w:val="0"/>
          <w:sz w:val="20"/>
        </w:rPr>
        <w:t>List real risks with a named owner each. Map every approval and permit against a realistic timeline. Write down the key assumptions the whole package rests on.</w:t>
      </w:r>
    </w:p>
    <w:p>
      <w:pPr>
        <w:spacing w:after="120"/>
        <w:ind w:left="360"/>
      </w:pPr>
      <w:r>
        <w:rPr>
          <w:i/>
          <w:color w:val="1F2D3D"/>
          <w:sz w:val="18"/>
        </w:rPr>
        <w:t>→ Form: Risk Register &amp; Key Assumptions, Approval &amp; Timeline Map</w:t>
      </w:r>
    </w:p>
    <w:p>
      <w:pPr>
        <w:spacing w:before="160" w:after="40"/>
      </w:pPr>
      <w:r>
        <w:rPr>
          <w:b/>
          <w:color w:val="B8862E"/>
        </w:rPr>
        <w:t xml:space="preserve">5.  </w:t>
      </w:r>
      <w:r>
        <w:rPr>
          <w:b/>
          <w:i w:val="0"/>
          <w:sz w:val="22"/>
        </w:rPr>
        <w:t>Strategize — choose a delivery and procurement approach on purpose</w:t>
      </w:r>
    </w:p>
    <w:p>
      <w:pPr>
        <w:spacing w:after="40"/>
        <w:ind w:left="360"/>
      </w:pPr>
      <w:r>
        <w:rPr>
          <w:b w:val="0"/>
          <w:i w:val="0"/>
          <w:sz w:val="20"/>
        </w:rPr>
        <w:t>Pick a delivery method deliberately, based on this project's actual risk profile and schedule pressure — not by default. Be honest about in-house capacity to manage it.</w:t>
      </w:r>
    </w:p>
    <w:p>
      <w:pPr>
        <w:spacing w:after="120"/>
        <w:ind w:left="360"/>
      </w:pPr>
      <w:r>
        <w:rPr>
          <w:i/>
          <w:color w:val="1F2D3D"/>
          <w:sz w:val="18"/>
        </w:rPr>
        <w:t>→ Form: Delivery &amp; Procurement Strategy Worksheet</w:t>
      </w:r>
    </w:p>
    <w:p>
      <w:pPr>
        <w:spacing w:before="160" w:after="40"/>
      </w:pPr>
      <w:r>
        <w:rPr>
          <w:b/>
          <w:color w:val="B8862E"/>
        </w:rPr>
        <w:t xml:space="preserve">6.  </w:t>
      </w:r>
      <w:r>
        <w:rPr>
          <w:b/>
          <w:i w:val="0"/>
          <w:sz w:val="22"/>
        </w:rPr>
        <w:t>Score — run the Facility Readiness Score across all eight categories</w:t>
      </w:r>
    </w:p>
    <w:p>
      <w:pPr>
        <w:spacing w:after="40"/>
        <w:ind w:left="360"/>
      </w:pPr>
      <w:r>
        <w:rPr>
          <w:b w:val="0"/>
          <w:i w:val="0"/>
          <w:sz w:val="20"/>
        </w:rPr>
        <w:t>Score the project in the Facility Readiness Score workbook — the same instrument that's been in the background since Phase 1, now run for the record against real numbers.</w:t>
      </w:r>
    </w:p>
    <w:p>
      <w:pPr>
        <w:spacing w:after="120"/>
        <w:ind w:left="360"/>
      </w:pPr>
      <w:r>
        <w:rPr>
          <w:i/>
          <w:color w:val="1F2D3D"/>
          <w:sz w:val="18"/>
        </w:rPr>
        <w:t>→ Form: Facility Readiness Score — Scoring Summary</w:t>
      </w:r>
    </w:p>
    <w:p>
      <w:pPr>
        <w:spacing w:before="160" w:after="40"/>
      </w:pPr>
      <w:r>
        <w:rPr>
          <w:b/>
          <w:color w:val="B8862E"/>
        </w:rPr>
        <w:t xml:space="preserve">7.  </w:t>
      </w:r>
      <w:r>
        <w:rPr>
          <w:b/>
          <w:i w:val="0"/>
          <w:sz w:val="22"/>
        </w:rPr>
        <w:t>Decide — close Gate 3 with the CFO and facilities director together</w:t>
      </w:r>
    </w:p>
    <w:p>
      <w:pPr>
        <w:spacing w:after="40"/>
        <w:ind w:left="360"/>
      </w:pPr>
      <w:r>
        <w:rPr>
          <w:b w:val="0"/>
          <w:i w:val="0"/>
          <w:sz w:val="20"/>
        </w:rPr>
        <w:t>Bring the score, the cost estimate, the schedule, and the top risks to a real decision meeting. 80-100 is Candidate for Gate 3 Review; 60-79 is Additional Definition Required — close the gaps before Gate 3, or get the CFO and facilities director to accept each one explicitly as a named risk; below 60 is Not Ready for Gate 3. Gate 2 Not Satisfied overrides any of these.</w:t>
      </w:r>
    </w:p>
    <w:p>
      <w:pPr>
        <w:spacing w:after="120"/>
        <w:ind w:left="360"/>
      </w:pPr>
      <w:r>
        <w:rPr>
          <w:i/>
          <w:color w:val="1F2D3D"/>
          <w:sz w:val="18"/>
        </w:rPr>
        <w:t>→ Form: Gate 3 Decision Record</w:t>
      </w:r>
    </w:p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The Forms for This Phase</w:t>
      </w:r>
    </w:p>
    <w:p>
      <w:pPr>
        <w:spacing w:after="60"/>
      </w:pPr>
      <w:r>
        <w:rPr>
          <w:b/>
          <w:sz w:val="19"/>
        </w:rPr>
        <w:t xml:space="preserve">Scope Basis Confirmation — </w:t>
      </w:r>
      <w:r>
        <w:rPr>
          <w:sz w:val="19"/>
        </w:rPr>
        <w:t>Locks down exactly what's being priced, scheduled, and scored.</w:t>
      </w:r>
    </w:p>
    <w:p>
      <w:pPr>
        <w:spacing w:after="60"/>
      </w:pPr>
      <w:r>
        <w:rPr>
          <w:b/>
          <w:sz w:val="19"/>
        </w:rPr>
        <w:t xml:space="preserve">Cost Estimate Summary — </w:t>
      </w:r>
      <w:r>
        <w:rPr>
          <w:sz w:val="19"/>
        </w:rPr>
        <w:t>A scope-based estimate by category, not a round number.</w:t>
      </w:r>
    </w:p>
    <w:p>
      <w:pPr>
        <w:spacing w:after="60"/>
      </w:pPr>
      <w:r>
        <w:rPr>
          <w:b/>
          <w:sz w:val="19"/>
        </w:rPr>
        <w:t xml:space="preserve">Schedule Summary &amp; Long-Lead Items Worksheet — </w:t>
      </w:r>
      <w:r>
        <w:rPr>
          <w:sz w:val="19"/>
        </w:rPr>
        <w:t>Real durations and the items most likely to determine the finish date.</w:t>
      </w:r>
    </w:p>
    <w:p>
      <w:pPr>
        <w:spacing w:after="60"/>
      </w:pPr>
      <w:r>
        <w:rPr>
          <w:b/>
          <w:sz w:val="19"/>
        </w:rPr>
        <w:t xml:space="preserve">Risk Register &amp; Key Assumptions — </w:t>
      </w:r>
      <w:r>
        <w:rPr>
          <w:sz w:val="19"/>
        </w:rPr>
        <w:t>Every real risk with a named owner; the assumptions the estimate depends on.</w:t>
      </w:r>
    </w:p>
    <w:p>
      <w:pPr>
        <w:spacing w:after="60"/>
      </w:pPr>
      <w:r>
        <w:rPr>
          <w:b/>
          <w:sz w:val="19"/>
        </w:rPr>
        <w:t xml:space="preserve">Approval &amp; Timeline Map — </w:t>
      </w:r>
      <w:r>
        <w:rPr>
          <w:sz w:val="19"/>
        </w:rPr>
        <w:t>Every approval or permit needed, against a realistic timeline.</w:t>
      </w:r>
    </w:p>
    <w:p>
      <w:pPr>
        <w:spacing w:after="60"/>
      </w:pPr>
      <w:r>
        <w:rPr>
          <w:b/>
          <w:sz w:val="19"/>
        </w:rPr>
        <w:t xml:space="preserve">Delivery &amp; Procurement Strategy Worksheet — </w:t>
      </w:r>
      <w:r>
        <w:rPr>
          <w:sz w:val="19"/>
        </w:rPr>
        <w:t>A deliberate delivery method and procurement approach.</w:t>
      </w:r>
    </w:p>
    <w:p>
      <w:pPr>
        <w:spacing w:after="60"/>
      </w:pPr>
      <w:r>
        <w:rPr>
          <w:b/>
          <w:sz w:val="19"/>
        </w:rPr>
        <w:t xml:space="preserve">Facility Readiness Score — Scoring Summary — </w:t>
      </w:r>
      <w:r>
        <w:rPr>
          <w:sz w:val="19"/>
        </w:rPr>
        <w:t>All eight categories, traced back to the form that produced each score.</w:t>
      </w:r>
    </w:p>
    <w:p>
      <w:pPr>
        <w:spacing w:after="60"/>
      </w:pPr>
      <w:r>
        <w:rPr>
          <w:b/>
          <w:sz w:val="19"/>
        </w:rPr>
        <w:t xml:space="preserve">Gate 3 Decision Record — </w:t>
      </w:r>
      <w:r>
        <w:rPr>
          <w:sz w:val="19"/>
        </w:rPr>
        <w:t>The artifact that closes Phase 3 and starts Phase 4.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val="clear" w:color="auto" w:fill="FBF4E4"/>
            <w:tcBorders>
              <w:top w:sz="4" w:val="single" w:color="B8862E"/>
              <w:left w:sz="4" w:val="single" w:color="B8862E"/>
              <w:bottom w:sz="4" w:val="single" w:color="B8862E"/>
              <w:right w:sz="4" w:val="single" w:color="B8862E"/>
            </w:tcBorders>
          </w:tcPr>
          <w:p>
            <w:r>
              <w:rPr>
                <w:b w:val="0"/>
                <w:i/>
                <w:sz w:val="19"/>
              </w:rPr>
              <w:t>A technically sound project with numbers finance doesn't trust won't get funded, and a financially tidy number with no real technical basis won't survive execution. Neither role owns this gate alone.</w:t>
            </w:r>
          </w:p>
        </w:tc>
      </w:tr>
    </w:tbl>
    <w:p>
      <w:pPr>
        <w:spacing w:after="80"/>
      </w:pPr>
    </w:p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