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B5892B"/>
          <w:sz w:val="18"/>
          <w:szCs w:val="18"/>
        </w:rPr>
        <w:t xml:space="preserve">VERITAS CONCEPT ENGINEERING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Facilities Planning Consulting — Robin Owens</w:t>
      </w:r>
    </w:p>
    <w:p>
      <w:pPr>
        <w:pStyle w:val="Title"/>
        <w:spacing w:after="10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FRF Phase 3 — Worked Example</w:t>
      </w:r>
    </w:p>
    <w:p>
      <w:pPr>
        <w:spacing w:after="300"/>
      </w:pPr>
      <w:r>
        <w:rPr>
          <w:rFonts w:ascii="Calibri" w:cs="Calibri" w:eastAsia="Calibri" w:hAnsi="Calibri"/>
          <w:i/>
          <w:iCs/>
          <w:color w:val="555555"/>
          <w:sz w:val="22"/>
          <w:szCs w:val="22"/>
        </w:rPr>
        <w:t xml:space="preserve">Illustrative sample data for all eight Phase 3 templates</w:t>
      </w:r>
    </w:p>
    <w:p>
      <w:pPr>
        <w:spacing w:after="12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This shows Phase 3 filled in, not blank. It picks up the same fictional company used in the Phase 1 and Phase 2, Step 1 Worked Examples — an electronics contract manufacturer expanding an SMT assembly and test line — right where the Phase 2 Gate 2 Decision Record leaves off: layout selected, capacity and resource/equipment counts set, space and relationships defined. Sample answers are shown in navy to distinguish them from the actual blank Facilitator Guide.</w:t>
      </w:r>
    </w:p>
    <w:p>
      <w:pPr>
        <w:spacing w:after="16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>Notice the numbers stay honest across all three worked examples rather than getting cleaner as the project moves forward. Phase 1's Rough-Order Budget Range Worksheet gave a wide $650,000-$1,100,000 range; Phase 3's Cost Estimate Summary lands at $965,000 — inside that range, but a real number built from firm vendor quotes and a GC budgetary proposal, not a guess that happened to land in the middle. The FRS Scoring Summary totals 87 out of 100 — Candidate for Gate 3 Review, but not a clean sweep: Site &amp; Physical/Regulatory Constraints and Schedule Realism &amp; Sequencing both lose a couple of points to genuinely open items (a utility-company outage still being scheduled, a permit not yet submitted), and the Gate 3 Decision Record's rationale says so plainly instead of rounding up. That is the discipline this guide is built to produce — a score and a decision that survive a real board or lender asking hard questions.</w:t>
      </w:r>
    </w:p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1. Scope Basis Confirmation — filled example</w:t>
      </w:r>
    </w:p>
    <w:p>
      <w:pPr>
        <w:spacing w:after="140" w:line="264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Pulled directly from the (fictional) Gate 2 Decision Record — nothing here is re-derived or re-guessed.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300"/>
      </w:tblGrid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Project / Initiative Name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SMT Assembly &amp; Test Line Expansion — Building 2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Gate 2 Approval Date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August 18, 2026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Selected Block Layout Alternative (name / reference)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Alternative B — SMT Line 3 sited at the north end of Building 2, in line with Kitting and Reflow/AOI; Functional Test Lab expansion sited adjacent to Hand Assembly, physically separated from the SMT floor for ESD/vibration isolation (per the Weighted-Factor Scorecard and the Relationship Chart's X-rated SMT/Test pairing).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Total GSF (from Space &amp; Density Worksheet)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18,500 GSF (interior building addition + reconfiguration; excludes site-only items — parking, truck court, stormwater infrastructure — carried separately)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Total Net New Machines / Equipment (from Capacity &amp; Capacity Model Worksheet)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8 net new: 1 pick-and-place system, 1 stencil printer, 1 reflow oven (SMT Line 3); 1 AOI system upgrade; 4 functional test stations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Executive Directives Still Open (cross-check the Directives Log's Status column)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One: "No utilities on the production floor — all overhead" was marked "pending confirmation against selected layout" at Gate 2. Confirmed here as satisfied — Alternative B routes 100% of new utility drops overhead per the Utility Requirements Summary. All other four directives closed at Gate 2.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Any Scope Changes Since Gate 2 — should be none; describe here if anything has changed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None. Scope, layout, and resource/equipment counts match the Gate 2 Decision Record exactly.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Prepared By / Date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R. Owens, Veritas Concept Engineering / September 2026</w:t>
            </w:r>
          </w:p>
        </w:tc>
      </w:tr>
    </w:tbl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2. Cost Estimate Summary — filled example</w:t>
      </w:r>
    </w:p>
    <w:p>
      <w:pPr>
        <w:spacing w:after="140" w:line="264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Nine categories, each with a stated basis — vendor quotes for the equipment line (the largest and most schedule-critical item), GC budgetary numbers for construction, a percentage-of-construction allowance for design fees. Contingency is sized down from Phase 1's wide range because the scope is now locked and the biggest cost driver is a firm quote, not a guess.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400"/>
        <w:gridCol w:w="1400"/>
        <w:gridCol w:w="1000"/>
        <w:gridCol w:w="2000"/>
      </w:tblGrid>
      <w:tr>
        <w:trPr>
          <w:cantSplit/>
          <w:tblHeader/>
        </w:trPr>
        <w:tc>
          <w:tcPr>
            <w:tcW w:type="dxa" w:w="22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Cost Category</w:t>
            </w:r>
          </w:p>
        </w:tc>
        <w:tc>
          <w:tcPr>
            <w:tcW w:type="dxa" w:w="24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Basis / Source</w:t>
            </w:r>
          </w:p>
        </w:tc>
        <w:tc>
          <w:tcPr>
            <w:tcW w:type="dxa" w:w="14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 ($)</w:t>
            </w:r>
          </w:p>
        </w:tc>
        <w:tc>
          <w:tcPr>
            <w:tcW w:type="dxa" w:w="10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% of Total</w:t>
            </w:r>
          </w:p>
        </w:tc>
        <w:tc>
          <w:tcPr>
            <w:tcW w:type="dxa" w:w="20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Site Work &amp; Civil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Civil engineer's site plan — Truck Court expansion, stormwater detention pond upsize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$70,000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7.3%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Bid-ready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Building Shell / Renovation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GC budgetary proposal — shell tie-in for SMT Line 3 bay, solar-ready roof reinforcement (Directives Log)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$140,000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14.5%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Bid-ready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Interior Fit-Out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GC budgetary proposal — ESD flooring/grounding; no permanent walls between SMT and hand-assembly, per Directives Log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$95,000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9.8%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Bid-ready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Process Equipment &amp; Machinery (Net New)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Firm vendor quotes — pick-and-place, stencil printer, reflow oven, AOI upgrade, 4 test stations (Capacity &amp; Capacity Model Worksheet)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$410,000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42.5%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Quotes valid 90 days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Utilities &amp; MEP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MEP engineer's estimate — 208V/3-phase service, 100% overhead utility distribution, compressed air, humidity control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$95,000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9.8%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Utility coordination underway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Furniture, Fixtures &amp; Equipment (FF&amp;E)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Vendor quotes — adjustable-height assembly stations, ESD workstation furniture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$35,000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3.6%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Design &amp; Engineering Fees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8% of construction cost — architect, MEP, civil, structural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$45,000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4.7%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Permits &amp; Fees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Municipal building permit + fire marshal review, per jurisdiction fee schedule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$15,000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1.6%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Contingency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6.2% — sized lower than Phase 1's rough range because Gate 2 layout is locked and the largest line item (equipment) is a firm quote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$60,000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6.2%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TOTAL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$965,000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100%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3. Schedule Summary &amp; Long-Lead Items Worksheet — filled example</w:t>
      </w:r>
    </w:p>
    <w:p>
      <w:pPr>
        <w:spacing w:after="140" w:line="264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Milestones run roughly 10 months, Design Development through Occupancy/Ramp-Up. Long-lead procurement starts in parallel with Design Development, not after it — the pick-and-place system's 22-week lead time is what actually paces this schedule, which is why it's called out separately below rather than buried inside a single "Procurement" milestone.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400"/>
        <w:gridCol w:w="1500"/>
        <w:gridCol w:w="1500"/>
        <w:gridCol w:w="2400"/>
      </w:tblGrid>
      <w:tr>
        <w:trPr>
          <w:cantSplit/>
          <w:tblHeader/>
        </w:trPr>
        <w:tc>
          <w:tcPr>
            <w:tcW w:type="dxa" w:w="22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Milestone / Phase</w:t>
            </w:r>
          </w:p>
        </w:tc>
        <w:tc>
          <w:tcPr>
            <w:tcW w:type="dxa" w:w="14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Duration</w:t>
            </w:r>
          </w:p>
        </w:tc>
        <w:tc>
          <w:tcPr>
            <w:tcW w:type="dxa" w:w="15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Target Start</w:t>
            </w:r>
          </w:p>
        </w:tc>
        <w:tc>
          <w:tcPr>
            <w:tcW w:type="dxa" w:w="15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Target Finish</w:t>
            </w:r>
          </w:p>
        </w:tc>
        <w:tc>
          <w:tcPr>
            <w:tcW w:type="dxa" w:w="24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Dependencies / Notes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Design Development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8 weeks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Oct 2026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Dec 2026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Vendor equipment drawings needed for MEP/structural coordination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Permitting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6 weeks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Dec 2026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Jan 2027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Runs concurrent with late Design Development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Long-Lead Procurement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20 weeks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Oct 2026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Feb 2027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Pick-and-place system is the long-lead driver — order at Design Development kickoff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Bid / Award (if applicable)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3 weeks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Jan 2027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Feb 2027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GC bid for civil/shell/fit-out package only; equipment already sole-sourced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Construction / Installation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14 weeks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Feb 2027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May 2027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Cannot start structural tie-in until permit is issued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Commissioning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4 weeks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May 2027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Jun 2027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Equipment install complete, utilities live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Occupancy / Ramp-Up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8 weeks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Jun 2027</w:t>
            </w:r>
          </w:p>
        </w:tc>
        <w:tc>
          <w:tcPr>
            <w:tcW w:type="dxa" w:w="1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Aug 2027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Phased ramp to the Year 1 throughput target</w:t>
            </w:r>
          </w:p>
        </w:tc>
      </w:tr>
    </w:tbl>
    <w:p>
      <w:pPr>
        <w:spacing w:after="16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</w:p>
    <w:p>
      <w:pPr>
        <w:spacing w:after="140" w:line="264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Long-Lead Items — the five items whose order-by date, not their installation date, is what actually protects the finish date.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0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20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Lead Time (weeks)</w:t>
            </w:r>
          </w:p>
        </w:tc>
        <w:tc>
          <w:tcPr>
            <w:tcW w:type="dxa" w:w="20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Order-By Date</w:t>
            </w:r>
          </w:p>
        </w:tc>
        <w:tc>
          <w:tcPr>
            <w:tcW w:type="dxa" w:w="20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Pick-and-Place System (SMT Line 3)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22 weeks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Oct 2026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Vendor quote in hand — order upon Gate 3 approval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Reflow Oven (SMT Line 3)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18 weeks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Oct 2026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Vendor quote in hand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AOI System Upgrade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16 weeks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Nov 2026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Firm quote received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Switchgear / 208V Service Upgrade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20 weeks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Oct 2026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Utility coordination in progress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Stencil Printer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10 weeks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Dec 2026</w:t>
            </w:r>
          </w:p>
        </w:tc>
        <w:tc>
          <w:tcPr>
            <w:tcW w:type="dxa" w:w="2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Standard lead time, not schedule-critical</w:t>
            </w:r>
          </w:p>
        </w:tc>
      </w:tr>
    </w:tbl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4. Risk Register &amp; Key Assumptions — filled example</w:t>
      </w:r>
    </w:p>
    <w:p>
      <w:pPr>
        <w:spacing w:after="140" w:line="264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Six risks, each with a named owner — three of the six are the CFO/facilities-director's or Operations' to manage directly, not Robin's. Likelihood and Impact are rated separately so the two schedule-critical, high-impact risks (equipment lead time, production disruption during tie-in) don't get lost next to the lower-impact ones.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200"/>
        <w:gridCol w:w="1300"/>
        <w:gridCol w:w="900"/>
        <w:gridCol w:w="1200"/>
        <w:gridCol w:w="1900"/>
        <w:gridCol w:w="800"/>
      </w:tblGrid>
      <w:tr>
        <w:trPr>
          <w:cantSplit/>
          <w:tblHeader/>
        </w:trPr>
        <w:tc>
          <w:tcPr>
            <w:tcW w:type="dxa" w:w="17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Risk</w:t>
            </w:r>
          </w:p>
        </w:tc>
        <w:tc>
          <w:tcPr>
            <w:tcW w:type="dxa" w:w="12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Category</w:t>
            </w:r>
          </w:p>
        </w:tc>
        <w:tc>
          <w:tcPr>
            <w:tcW w:type="dxa" w:w="13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Likelihood</w:t>
            </w:r>
          </w:p>
        </w:tc>
        <w:tc>
          <w:tcPr>
            <w:tcW w:type="dxa" w:w="9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Impact</w:t>
            </w:r>
          </w:p>
        </w:tc>
        <w:tc>
          <w:tcPr>
            <w:tcW w:type="dxa" w:w="12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19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Mitigation / Response</w:t>
            </w:r>
          </w:p>
        </w:tc>
        <w:tc>
          <w:tcPr>
            <w:tcW w:type="dxa" w:w="8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Pick-and-place delivery slips past the 22-week quoted lead time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Schedule</w:t>
            </w:r>
          </w:p>
        </w:tc>
        <w:tc>
          <w:tcPr>
            <w:tcW w:type="dxa" w:w="13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Medium</w:t>
            </w:r>
          </w:p>
        </w:tc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High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R. Owens / Procurement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Order immediately on Gate 3 approval; track vendor milestones monthly; identify a backup vendor as fallback</w:t>
            </w:r>
          </w:p>
        </w:tc>
        <w:tc>
          <w:tcPr>
            <w:tcW w:type="dxa" w:w="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208V/3-phase service upgrade needs a utility-scheduled outage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Schedule</w:t>
            </w:r>
          </w:p>
        </w:tc>
        <w:tc>
          <w:tcPr>
            <w:tcW w:type="dxa" w:w="13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Medium</w:t>
            </w:r>
          </w:p>
        </w:tc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Medium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Facilities Director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Engage the utility company at Design Development kickoff, not at construction start</w:t>
            </w:r>
          </w:p>
        </w:tc>
        <w:tc>
          <w:tcPr>
            <w:tcW w:type="dxa" w:w="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Municipal permit review takes longer than the 6-week estimate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Schedule / Regulatory</w:t>
            </w:r>
          </w:p>
        </w:tc>
        <w:tc>
          <w:tcPr>
            <w:tcW w:type="dxa" w:w="13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Medium</w:t>
            </w:r>
          </w:p>
        </w:tc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Medium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Facilities Director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Pre-submittal meeting before formal submission; permit expediter on retainer</w:t>
            </w:r>
          </w:p>
        </w:tc>
        <w:tc>
          <w:tcPr>
            <w:tcW w:type="dxa" w:w="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SMT equipment vendor pricing increases before PO is issued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Cost</w:t>
            </w:r>
          </w:p>
        </w:tc>
        <w:tc>
          <w:tcPr>
            <w:tcW w:type="dxa" w:w="13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Low</w:t>
            </w:r>
          </w:p>
        </w:tc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Medium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CFO / Finance Lead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Vendor quote holds 90 days from Gate 3 approval; issue PO within that window</w:t>
            </w:r>
          </w:p>
        </w:tc>
        <w:tc>
          <w:tcPr>
            <w:tcW w:type="dxa" w:w="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Production disruption to existing SMT Lines 1-2 during tie-in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Technical / Operational</w:t>
            </w:r>
          </w:p>
        </w:tc>
        <w:tc>
          <w:tcPr>
            <w:tcW w:type="dxa" w:w="13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Medium</w:t>
            </w:r>
          </w:p>
        </w:tc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High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VP Operations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Sequence shell/utility tie-in to 3rd-shift/weekend windows; coordinate with Operations</w:t>
            </w:r>
          </w:p>
        </w:tc>
        <w:tc>
          <w:tcPr>
            <w:tcW w:type="dxa" w:w="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Functional test technician hiring doesn't keep pace with ramp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Market / Labor</w:t>
            </w:r>
          </w:p>
        </w:tc>
        <w:tc>
          <w:tcPr>
            <w:tcW w:type="dxa" w:w="13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Medium</w:t>
            </w:r>
          </w:p>
        </w:tc>
        <w:tc>
          <w:tcPr>
            <w:tcW w:type="dxa" w:w="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Medium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VP Operations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Begin recruiting at Construction start, not Occupancy; use Calibration Lab techs as a bridge</w:t>
            </w:r>
          </w:p>
        </w:tc>
        <w:tc>
          <w:tcPr>
            <w:tcW w:type="dxa" w:w="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Open</w:t>
            </w:r>
          </w:p>
        </w:tc>
      </w:tr>
    </w:tbl>
    <w:p>
      <w:pPr>
        <w:spacing w:after="16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rPr>
          <w:cantSplit/>
          <w:tblHeader/>
        </w:trPr>
        <w:tc>
          <w:tcPr>
            <w:tcW w:type="dxa" w:w="30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Assumption</w:t>
            </w:r>
          </w:p>
        </w:tc>
        <w:tc>
          <w:tcPr>
            <w:tcW w:type="dxa" w:w="30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If This Changes…</w:t>
            </w:r>
          </w:p>
        </w:tc>
        <w:tc>
          <w:tcPr>
            <w:tcW w:type="dxa" w:w="30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Response / Trigger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Construction material pricing holds within 5% of the Q3 2026 estimate basis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Pricing moves more than 5%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Re-run the Cost Estimate Summary; flag the delta to the CFO before releasing the GC bid package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Municipal permit review runs the typical 6 weeks for this jurisdiction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Actual review exceeds 8 weeks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Compress Construction/Installation float; notify the CFO/facilities director the Gate 3 schedule needs revisiting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The pick-and-place vendor's quoted 22-week lead time holds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Lead time extends past 26 weeks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Activate the backup vendor identified on the Risk Register, even at a cost premium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The Year 1 throughput target (55,000 boards/month) remains the funding basis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Sales revises the Year 1 target materially, up or down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Recheck the Capacity &amp; Capacity Model Worksheet and the Cost Estimate Summary before proceeding to Phase 4</w:t>
            </w:r>
          </w:p>
        </w:tc>
      </w:tr>
    </w:tbl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5. Approval &amp; Timeline Map — filled example</w:t>
      </w:r>
    </w:p>
    <w:p>
      <w:pPr>
        <w:spacing w:after="140" w:line="264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Five approvals, each mapped to a realistic timeline from the actual issuing authority — notice the utility service upgrade (16-20 weeks) is the longest of the five and shows up on the Risk Register above for exactly that reason.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1600"/>
        <w:gridCol w:w="1200"/>
        <w:gridCol w:w="1400"/>
      </w:tblGrid>
      <w:tr>
        <w:trPr>
          <w:cantSplit/>
          <w:tblHeader/>
        </w:trPr>
        <w:tc>
          <w:tcPr>
            <w:tcW w:type="dxa" w:w="26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Approval / Permit Needed</w:t>
            </w:r>
          </w:p>
        </w:tc>
        <w:tc>
          <w:tcPr>
            <w:tcW w:type="dxa" w:w="22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Issuing Authority</w:t>
            </w:r>
          </w:p>
        </w:tc>
        <w:tc>
          <w:tcPr>
            <w:tcW w:type="dxa" w:w="16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Typical Timeline</w:t>
            </w:r>
          </w:p>
        </w:tc>
        <w:tc>
          <w:tcPr>
            <w:tcW w:type="dxa" w:w="12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Owner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Building Permit — shell modification &amp; fit-out</w:t>
            </w:r>
          </w:p>
        </w:tc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City Building Department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6-8 weeks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Pre-submittal scheduled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Facilities Director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Fire Marshal Review — fire lane, life safety, fume extraction</w:t>
            </w:r>
          </w:p>
        </w:tc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County Fire Marshal's Office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3-4 weeks, concurrent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Not yet submitted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Facilities Director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Utility Service Upgrade Approval — 208V/3-phase</w:t>
            </w:r>
          </w:p>
        </w:tc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Regional Utility Co.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16-20 weeks incl. equipment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Initial application submitted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Facilities Director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Stormwater / Detention Pond Modification Permit</w:t>
            </w:r>
          </w:p>
        </w:tc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County Stormwater Mgmt.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8-10 weeks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Civil engineer preparing application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Facilities Director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Air Permit Amendment — conformal coating booth (if triggered)</w:t>
            </w:r>
          </w:p>
        </w:tc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State Environmental Agency</w:t>
            </w:r>
          </w:p>
        </w:tc>
        <w:tc>
          <w:tcPr>
            <w:tcW w:type="dxa" w:w="1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10-12 weeks if required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Applicability review in progress</w:t>
            </w:r>
          </w:p>
        </w:tc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Quality / EHS Lead</w:t>
            </w:r>
          </w:p>
        </w:tc>
      </w:tr>
    </w:tbl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6. Delivery &amp; Procurement Strategy Worksheet — filled example</w:t>
      </w:r>
    </w:p>
    <w:p>
      <w:pPr>
        <w:spacing w:after="140" w:line="264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A deliberate, stated choice — Design-Bid-Build for the construction package, sole-source for the equipment — with the reasoning written out, not just the method named.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300"/>
      </w:tblGrid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Delivery Method Selected — Design-Bid-Build / Design-Build / CM at Risk / Integrated Project Delivery / Other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Design-Bid-Build for the civil/shell/interior fit-out package; equipment is sole-sourced/negotiated directly with the existing SMT equipment vendor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Rationale for This Method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The layout and space plan are already fully defined from Phase 2, so Design-Build's early contractor input has little value here — a competitive GC bid on a well-defined scope controls cost better. The SMT equipment is sole-sourced because Lines 1 and 2 already run this vendor's platform; matching it avoids a second training/spares/service relationship.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Owner's In-House Capacity to Manage This Delivery Method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The facilities director has run two smaller renovation projects with this same delivery method; no outside owner's-rep is needed. Equipment install is vendor-managed per their standard installation contract.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Procurement Approach — Competitive Bid / Negotiated / Sole-Source / Other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Competitive Bid for the GC package (minimum 3 bids); Sole-Source/Negotiated for the SMT equipment and AOI upgrade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How This Matches the Project's Risk Tolerance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Scope is well-defined and low-novelty — an addition to an existing, proven line type — which fits a low-risk-tolerance, cost-certainty preference from the CFO via competitive bid. Sole-sourcing the equipment trades a small cost premium for schedule certainty and platform continuity, judged worth it given the lead-time risk on the Risk Register.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Prepared By / Date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R. Owens, Veritas Concept Engineering / September 2026</w:t>
            </w:r>
          </w:p>
        </w:tc>
      </w:tr>
    </w:tbl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7. FRS Scoring Summary — filled example</w:t>
      </w:r>
    </w:p>
    <w:p>
      <w:pPr>
        <w:spacing w:after="140" w:line="264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An honest 87 out of 100, not a rounded-up 100. The two categories that lose the most points — Site &amp; Physical/Regulatory Constraints and Risk &amp; Approval Readiness — are exactly the ones with open items on the Risk Register and Approval &amp; Timeline Map above; the score reflects the real state of the package, not just its overall soundness.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1200"/>
        <w:gridCol w:w="3800"/>
      </w:tblGrid>
      <w:tr>
        <w:trPr>
          <w:cantSplit/>
          <w:tblHeader/>
        </w:trPr>
        <w:tc>
          <w:tcPr>
            <w:tcW w:type="dxa" w:w="30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FRS Category</w:t>
            </w:r>
          </w:p>
        </w:tc>
        <w:tc>
          <w:tcPr>
            <w:tcW w:type="dxa" w:w="10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Weight</w:t>
            </w:r>
          </w:p>
        </w:tc>
        <w:tc>
          <w:tcPr>
            <w:tcW w:type="dxa" w:w="12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Score Achieved</w:t>
            </w:r>
          </w:p>
        </w:tc>
        <w:tc>
          <w:tcPr>
            <w:tcW w:type="dxa" w:w="38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Established By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Business Case &amp; Funding Clarity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12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12</w:t>
            </w:r>
          </w:p>
        </w:tc>
        <w:tc>
          <w:tcPr>
            <w:tcW w:type="dxa" w:w="3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Phase 1 — Gate 1 Decision Record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Stakeholder Governance &amp; Decision Rights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8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7</w:t>
            </w:r>
          </w:p>
        </w:tc>
        <w:tc>
          <w:tcPr>
            <w:tcW w:type="dxa" w:w="3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Phase 1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Capacity, Layout &amp; Flow Validation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22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20</w:t>
            </w:r>
          </w:p>
        </w:tc>
        <w:tc>
          <w:tcPr>
            <w:tcW w:type="dxa" w:w="3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Phase 2 — Capacity &amp; Machine Count, Space &amp; Density, Flow &amp; Travel-Distance Tracker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Site &amp; Physical/Regulatory Constraints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10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8</w:t>
            </w:r>
          </w:p>
        </w:tc>
        <w:tc>
          <w:tcPr>
            <w:tcW w:type="dxa" w:w="3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Phase 2 — Site &amp; Circulation Flow Worksheet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Budget Basis &amp; Cost Realism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15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13</w:t>
            </w:r>
          </w:p>
        </w:tc>
        <w:tc>
          <w:tcPr>
            <w:tcW w:type="dxa" w:w="3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Phase 3 — Cost Estimate Summary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Schedule Realism &amp; Sequencing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10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8</w:t>
            </w:r>
          </w:p>
        </w:tc>
        <w:tc>
          <w:tcPr>
            <w:tcW w:type="dxa" w:w="3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Phase 3 — Schedule Summary &amp; Long-Lead Items Worksheet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Risk &amp; Approval Readiness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9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7</w:t>
            </w:r>
          </w:p>
        </w:tc>
        <w:tc>
          <w:tcPr>
            <w:tcW w:type="dxa" w:w="3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Phase 3 — Risk Register &amp; Approval and Timeline Map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Delivery &amp; Procurement Strategy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14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12</w:t>
            </w:r>
          </w:p>
        </w:tc>
        <w:tc>
          <w:tcPr>
            <w:tcW w:type="dxa" w:w="3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Phase 3 — Delivery &amp; Procurement Strategy Worksheet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TOTAL</w:t>
            </w:r>
          </w:p>
        </w:tc>
        <w:tc>
          <w:tcPr>
            <w:tcW w:type="dxa" w:w="1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100</w:t>
            </w:r>
          </w:p>
        </w:tc>
        <w:tc>
          <w:tcPr>
            <w:tcW w:type="dxa" w:w="1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87</w:t>
            </w:r>
          </w:p>
        </w:tc>
        <w:tc>
          <w:tcPr>
            <w:tcW w:type="dxa" w:w="3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8. Gate 3 Decision Record — filled example</w:t>
      </w:r>
    </w:p>
    <w:p>
      <w:pPr>
        <w:spacing w:after="140" w:line="264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The formal decision, with both the CFO/Finance Lead's and the Facilities Director's sign-off — and a rationale that names the two open risks directly instead of writing around them. This is what Phase 4 starts from.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300"/>
      </w:tblGrid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Project / Initiative Name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SMT Assembly &amp; Test Line Expansion — Building 2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FRS Total Score (out of 100)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87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Threshold Band Reached — mark one: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>☐ 80-100 Candidate for Gate 3 Review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>☐ 60-79 Additional Definition Required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>☐ Below 60 Not Ready for Gate 3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>80-100 Candidate for Gate 3 Review (this box checked)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Cost Estimate Basis &amp; Amount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$965,000 total installed cost — GC budgetary proposal plus firm vendor equipment quotes; contingency sized at 6.2% given the locked Phase 2 scope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Schedule Summary — Key Milestone Dates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Design Development Oct-Dec 2026; permitting and long-lead procurement concurrent; construction Feb-May 2027; commissioning May-Jun 2027; full Year 1 throughput ramp complete by Aug 2027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Top Risks Called Out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Pick-and-place equipment lead time (22 weeks, schedule-critical); utility company 208V service upgrade scheduling; construction tie-in disruption to existing Lines 1-2 production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Decision — mark one: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☐ Approved, proceed to Phase 4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☐ More information needed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☐ Project stopped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Approved, proceed to Phase 4 (this box checked)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Rationale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>An FRS score of 87/100 (Candidate for Gate 3 Review) reflects a well-defined scope carried forward intact from Gate 2, a cost estimate grounded in firm vendor quotes for the largest line item, and risks with named owners and stated mitigations. The two open items — utility scheduling and the pick-and-place lead time — are being actively managed, not ignored, and don't change the fundamental soundness of the numbers.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Phase 4 Budget / Resources Authorized (if approved)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$965,000 capital authorization, plus a $45,000 owner's contingency reserve held outside the project budget for the CFO's discretion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Approved By — CFO / Finance Lead — Name, Title, Signature, Date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[Name], Chief Financial Officer, [signature], [date]</w:t>
            </w:r>
          </w:p>
        </w:tc>
      </w:tr>
      <w:tr>
        <w:trPr>
          <w:cantSplit/>
        </w:trPr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Approved By — Facilities Director — Name, Title, Signature, Date</w:t>
            </w:r>
          </w:p>
        </w:tc>
        <w:tc>
          <w:tcPr>
            <w:tcW w:type="dxa" w:w="6300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1F3864"/>
                <w:sz w:val="20"/>
                <w:szCs w:val="20"/>
              </w:rPr>
              <w:t xml:space="preserve">[Name], Facilities Director, [signature], [date]</w:t>
            </w:r>
          </w:p>
        </w:tc>
      </w:tr>
    </w:tbl>
    <w:p>
      <w:pPr>
        <w:spacing w:before="0" w:after="0"/>
        <w:rPr>
          <w:sz w:val="2"/>
        </w:rPr>
      </w:pPr>
    </w:p>
    <w:sectPr>
      <w:footerReference w:type="default" r:id="rId8"/>
      <w:pgSz w:w="12240" w:h="15840" w:orient="portrait"/>
      <w:pgMar w:top="1080" w:right="1260" w:bottom="1080" w:left="1260" w:header="708" w:footer="28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888888"/>
        <w:sz w:val="18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2026-09-09T18:02:13.470Z</dcterms:created>
  <dcterms:modified xsi:type="dcterms:W3CDTF">2026-09-09T18:02:13.470Z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