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4 OF 4 · COMMIT THE MONEY</w:t>
      </w:r>
    </w:p>
    <w:p>
      <w:pPr>
        <w:spacing w:after="40"/>
      </w:pPr>
      <w:r>
        <w:rPr>
          <w:b/>
          <w:color w:val="1F2D3D"/>
          <w:sz w:val="40"/>
        </w:rPr>
        <w:t>Conditions &amp; Follow-Up Items Log</w:t>
      </w:r>
    </w:p>
    <w:p>
      <w:pPr>
        <w:spacing w:after="240"/>
      </w:pPr>
      <w:r>
        <w:rPr>
          <w:i/>
          <w:color w:val="B8862E"/>
          <w:sz w:val="24"/>
        </w:rPr>
        <w:t>Phase 4 — Commit the Money (Gate 4: Funding Committed)</w:t>
      </w:r>
    </w:p>
    <w:p>
      <w:pPr>
        <w:spacing w:after="160"/>
      </w:pPr>
      <w:r>
        <w:rPr>
          <w:b w:val="0"/>
          <w:i w:val="0"/>
          <w:sz w:val="19"/>
        </w:rPr>
        <w:t>Every question or condition raised during the approval process, captured live with a named owner and due date.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72"/>
        <w:gridCol w:w="1296"/>
        <w:gridCol w:w="2304"/>
        <w:gridCol w:w="1296"/>
        <w:gridCol w:w="1152"/>
        <w:gridCol w:w="1296"/>
      </w:tblGrid>
      <w:tr>
        <w:tc>
          <w:tcPr>
            <w:tcW w:type="dxa" w:w="187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Item Raised</w:t>
            </w:r>
          </w:p>
        </w:tc>
        <w:tc>
          <w:tcPr>
            <w:tcW w:type="dxa" w:w="1296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Raised By</w:t>
            </w:r>
          </w:p>
        </w:tc>
        <w:tc>
          <w:tcPr>
            <w:tcW w:type="dxa" w:w="2304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Response / Resolution</w:t>
            </w:r>
          </w:p>
        </w:tc>
        <w:tc>
          <w:tcPr>
            <w:tcW w:type="dxa" w:w="1296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Owner</w:t>
            </w:r>
          </w:p>
        </w:tc>
        <w:tc>
          <w:tcPr>
            <w:tcW w:type="dxa" w:w="115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  <w:tc>
          <w:tcPr>
            <w:tcW w:type="dxa" w:w="1296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Due Date</w:t>
            </w:r>
          </w:p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