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4 OF 4 · COMMIT THE MONEY</w:t>
      </w:r>
    </w:p>
    <w:p>
      <w:pPr>
        <w:spacing w:after="40"/>
      </w:pPr>
      <w:r>
        <w:rPr>
          <w:b/>
          <w:color w:val="1F2D3D"/>
          <w:sz w:val="40"/>
        </w:rPr>
        <w:t>Project Baseline Record — Scope, Cost &amp; Schedule</w:t>
      </w:r>
    </w:p>
    <w:p>
      <w:pPr>
        <w:spacing w:after="240"/>
      </w:pPr>
      <w:r>
        <w:rPr>
          <w:i/>
          <w:color w:val="B8862E"/>
          <w:sz w:val="24"/>
        </w:rPr>
        <w:t>Phase 4 — Commit the Money (Gate 4: Funding Committed)</w:t>
      </w:r>
    </w:p>
    <w:p>
      <w:pPr>
        <w:spacing w:after="160"/>
      </w:pPr>
      <w:r>
        <w:rPr>
          <w:b w:val="0"/>
          <w:i w:val="0"/>
          <w:sz w:val="19"/>
        </w:rPr>
        <w:t>The specific scope, cost, and schedule figures actually authorized, cited back to the exact Phase 2/3 documents — the fixed point every future variance report gets measured against.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Approved Total Project Cost ($)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Approved Contingency ($ and %)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Approved Completion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Baseline Scope Reference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Cite the exact Phase 2/3 documents this baseline is drawn from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Baseline Established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Change Control Threshold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Dollar amount and/or schedule slip that triggers mandatory re-approval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Prepared By /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