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Execution Governance &amp; Change Control Charter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Names who owns execution and sets the rules for change before it starts — not an assumption that governance will sort itself out once work begins.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Manager / Owner's Representative Assigned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Name, Title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Decision Authority Matrix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Who can approve what dollar level of change without going back to the Gate 4 approving body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Change Order Approval Process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Steps, required documentation, sign-offs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Reporting Cadence to Leadership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Frequency, format, what triggers an out-of-cycle report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Escalation Path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i/>
                <w:color w:val="555555"/>
                <w:sz w:val="16"/>
              </w:rPr>
              <w:t>Who gets notified, in what order, if the Change Control Threshold is hit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Prepared By /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