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rPr>
          <w:rFonts w:ascii="Calibri" w:hAnsi="Calibri"/>
          <w:b/>
          <w:color w:val="1F2D3D"/>
          <w:sz w:val="20"/>
        </w:rPr>
        <w:t>VERITAS CONCEPT ENGINEERING</w:t>
      </w:r>
    </w:p>
    <w:p>
      <w:pPr>
        <w:spacing w:after="200"/>
      </w:pPr>
      <w:r>
        <w:rPr>
          <w:i/>
          <w:color w:val="555555"/>
          <w:sz w:val="18"/>
        </w:rPr>
        <w:t>Facilities Planning Consulting — Robin Owens</w:t>
      </w:r>
    </w:p>
    <w:p>
      <w:pPr>
        <w:spacing w:after="40"/>
      </w:pPr>
      <w:r>
        <w:rPr>
          <w:b/>
          <w:color w:val="B8862E"/>
          <w:sz w:val="16"/>
        </w:rPr>
        <w:t>FRF · PHASE 4 OF 4 · COMMIT THE MONEY</w:t>
      </w:r>
    </w:p>
    <w:p>
      <w:pPr>
        <w:spacing w:after="40"/>
      </w:pPr>
      <w:r>
        <w:rPr>
          <w:b/>
          <w:color w:val="1F2D3D"/>
          <w:sz w:val="40"/>
        </w:rPr>
        <w:t>Phase 4 Facilitator Guide</w:t>
      </w:r>
    </w:p>
    <w:p>
      <w:pPr>
        <w:spacing w:after="240"/>
      </w:pPr>
      <w:r>
        <w:rPr>
          <w:i/>
          <w:color w:val="B8862E"/>
          <w:sz w:val="24"/>
        </w:rPr>
        <w:t>Commit the Money — Steps &amp; Forms</w:t>
      </w:r>
    </w:p>
    <w:p>
      <w:pPr>
        <w:spacing w:after="160"/>
      </w:pPr>
      <w:r>
        <w:rPr>
          <w:b w:val="0"/>
          <w:i w:val="0"/>
          <w:sz w:val="19"/>
        </w:rPr>
        <w:t>A standalone companion to the Facility Readiness Framework (FRF), for whoever is facilitating this phase on a real project.</w:t>
      </w:r>
    </w:p>
    <w:p>
      <w:pPr>
        <w:spacing w:after="160"/>
      </w:pPr>
      <w:r>
        <w:rPr>
          <w:b w:val="0"/>
          <w:i w:val="0"/>
          <w:sz w:val="21"/>
        </w:rPr>
        <w:t>This is the working document for actually running Phase 4 — Gate 4: Funding Committed, the last gate in the Facility Readiness Framework. It follows the same structure as the Phase 1-3 Facilitator Guides. It assumes Phase 3 is complete and its package (cost estimate, schedule, risk register, approvals map, delivery strategy, and the Gate 3 Decision Record with a scored Facility Readiness Score) is in hand.</w:t>
      </w:r>
    </w:p>
    <w:p>
      <w:pPr>
        <w:spacing w:after="160"/>
      </w:pPr>
      <w:r>
        <w:rPr>
          <w:b w:val="0"/>
          <w:i w:val="0"/>
          <w:sz w:val="21"/>
        </w:rPr>
        <w:t>Phase 4 doesn't add any new Facility Readiness Score categories — all eight were already established across Phases 1-3. Its job is to compile that existing package into a funding-ready form, get it formally authorized, and set up the structure execution will run against. The score itself isn't recalculated here, it's reconfirmed: if scope, cost, schedule, risk, or operational assumptions changed materially since the Gate 3 decision, that work goes back to its source phase and the score gets updated before this gate, not discovered for the first time at it.</w:t>
      </w:r>
    </w:p>
    <w:p>
      <w:pPr>
        <w:spacing w:before="280" w:after="120"/>
        <w:pBdr>
          <w:bottom w:val="single" w:sz="6" w:space="2" w:color="B8862E"/>
        </w:pBdr>
      </w:pPr>
      <w:r>
        <w:rPr>
          <w:b/>
          <w:color w:val="1F2D3D"/>
          <w:sz w:val="26"/>
        </w:rPr>
        <w:t>Gate 4 at a Glance</w:t>
      </w:r>
    </w:p>
    <w:tbl>
      <w:tblPr>
        <w:tblW w:type="auto" w:w="0"/>
        <w:jc w:val="center"/>
        <w:tblLayout w:type="autofit"/>
        <w:tblLook w:firstColumn="1" w:firstRow="1" w:lastColumn="0" w:lastRow="0" w:noHBand="0" w:noVBand="1" w:val="04A0"/>
      </w:tblPr>
      <w:tblGrid>
        <w:gridCol w:w="4824"/>
        <w:gridCol w:w="4824"/>
      </w:tblGrid>
      <w:tr>
        <w:tc>
          <w:tcPr>
            <w:tcW w:type="dxa" w:w="4824"/>
            <w:shd w:val="clear" w:color="auto" w:fill="F7F7F5"/>
            <w:tcBorders>
              <w:top w:sz="4" w:val="single" w:color="CCCCCC"/>
              <w:left w:sz="4" w:val="single" w:color="CCCCCC"/>
              <w:bottom w:sz="4" w:val="single" w:color="CCCCCC"/>
              <w:right w:sz="4" w:val="single" w:color="CCCCCC"/>
            </w:tcBorders>
          </w:tcPr>
          <w:p>
            <w:pPr>
              <w:spacing w:after="40"/>
            </w:pPr>
            <w:r>
              <w:rPr>
                <w:b/>
                <w:color w:val="B8862E"/>
                <w:sz w:val="16"/>
              </w:rPr>
              <w:t>GATE 4</w:t>
            </w:r>
          </w:p>
          <w:p>
            <w:pPr>
              <w:spacing w:after="40"/>
            </w:pPr>
            <w:r>
              <w:rPr>
                <w:b/>
                <w:i w:val="0"/>
                <w:sz w:val="20"/>
              </w:rPr>
              <w:t>Funding Committed</w:t>
            </w:r>
          </w:p>
        </w:tc>
        <w:tc>
          <w:tcPr>
            <w:tcW w:type="dxa" w:w="4824"/>
            <w:shd w:val="clear" w:color="auto" w:fill="F7F7F5"/>
            <w:tcBorders>
              <w:top w:sz="4" w:val="single" w:color="CCCCCC"/>
              <w:left w:sz="4" w:val="single" w:color="CCCCCC"/>
              <w:bottom w:sz="4" w:val="single" w:color="CCCCCC"/>
              <w:right w:sz="4" w:val="single" w:color="CCCCCC"/>
            </w:tcBorders>
          </w:tcPr>
          <w:p>
            <w:pPr>
              <w:spacing w:after="40"/>
            </w:pPr>
            <w:r>
              <w:rPr>
                <w:b/>
                <w:color w:val="B8862E"/>
                <w:sz w:val="16"/>
              </w:rPr>
              <w:t>ACCOUNTABLE</w:t>
            </w:r>
          </w:p>
          <w:p>
            <w:pPr>
              <w:spacing w:after="40"/>
            </w:pPr>
            <w:r>
              <w:rPr>
                <w:b/>
                <w:i w:val="0"/>
                <w:sz w:val="20"/>
              </w:rPr>
              <w:t>Board, council, or executive leadership — whoever's actual signature releases the money, which is not always the same person who presents the request.</w:t>
            </w:r>
          </w:p>
        </w:tc>
      </w:tr>
      <w:tr>
        <w:tc>
          <w:tcPr>
            <w:tcW w:type="dxa" w:w="4824"/>
            <w:shd w:val="clear" w:color="auto" w:fill="F7F7F5"/>
            <w:tcBorders>
              <w:top w:sz="4" w:val="single" w:color="CCCCCC"/>
              <w:left w:sz="4" w:val="single" w:color="CCCCCC"/>
              <w:bottom w:sz="4" w:val="single" w:color="CCCCCC"/>
              <w:right w:sz="4" w:val="single" w:color="CCCCCC"/>
            </w:tcBorders>
          </w:tcPr>
          <w:p>
            <w:pPr>
              <w:spacing w:after="40"/>
            </w:pPr>
            <w:r>
              <w:rPr>
                <w:b/>
                <w:color w:val="B8862E"/>
                <w:sz w:val="16"/>
              </w:rPr>
              <w:t>GATE QUESTION</w:t>
            </w:r>
          </w:p>
          <w:p>
            <w:pPr>
              <w:spacing w:after="40"/>
            </w:pPr>
            <w:r>
              <w:rPr>
                <w:b w:val="0"/>
                <w:i w:val="0"/>
                <w:sz w:val="20"/>
              </w:rPr>
              <w:t>Has the appropriate governing body formally authorized the capital, and is there a locked baseline and a named owner for execution — not just informal agreement in a meeting?</w:t>
            </w:r>
          </w:p>
        </w:tc>
        <w:tc>
          <w:tcPr>
            <w:tcW w:type="dxa" w:w="4824"/>
            <w:shd w:val="clear" w:color="auto" w:fill="F7F7F5"/>
            <w:tcBorders>
              <w:top w:sz="4" w:val="single" w:color="CCCCCC"/>
              <w:left w:sz="4" w:val="single" w:color="CCCCCC"/>
              <w:bottom w:sz="4" w:val="single" w:color="CCCCCC"/>
              <w:right w:sz="4" w:val="single" w:color="CCCCCC"/>
            </w:tcBorders>
          </w:tcPr>
          <w:p>
            <w:pPr>
              <w:spacing w:after="40"/>
            </w:pPr>
            <w:r>
              <w:rPr>
                <w:b/>
                <w:color w:val="B8862E"/>
                <w:sz w:val="16"/>
              </w:rPr>
              <w:t>WHAT ACTUALLY GETS SKIPPED</w:t>
            </w:r>
          </w:p>
          <w:p>
            <w:pPr>
              <w:spacing w:after="40"/>
            </w:pPr>
            <w:r>
              <w:rPr>
                <w:b w:val="0"/>
                <w:i w:val="0"/>
                <w:sz w:val="20"/>
              </w:rPr>
              <w:t>This is where a project correctly planned through Phases 1-3 gets funded on a verbal go-ahead instead of a formal appropriation with a real baseline. A project released without a locked baseline and a named owner has no fixed point to measure overruns against once execution starts.</w:t>
            </w:r>
          </w:p>
        </w:tc>
      </w:tr>
    </w:tbl>
    <w:p>
      <w:pPr>
        <w:spacing w:after="80"/>
      </w:pPr>
    </w:p>
    <w:p>
      <w:pPr>
        <w:spacing w:before="280" w:after="120"/>
        <w:pBdr>
          <w:bottom w:val="single" w:sz="6" w:space="2" w:color="B8862E"/>
        </w:pBdr>
      </w:pPr>
      <w:r>
        <w:rPr>
          <w:b/>
          <w:color w:val="1F2D3D"/>
          <w:sz w:val="26"/>
        </w:rPr>
        <w:t>How to Run This Phase, Step by Step</w:t>
      </w:r>
    </w:p>
    <w:p>
      <w:pPr>
        <w:spacing w:before="200"/>
      </w:pPr>
      <w:r>
        <w:rPr>
          <w:b/>
          <w:i w:val="0"/>
          <w:sz w:val="22"/>
        </w:rPr>
        <w:t>Step 1 — Assemble: compile the Phase 1-3 package into one funding-ready summary, not a re-write.</w:t>
      </w:r>
    </w:p>
    <w:p>
      <w:pPr>
        <w:spacing w:after="160"/>
      </w:pPr>
      <w:r>
        <w:rPr>
          <w:b w:val="0"/>
          <w:i w:val="0"/>
          <w:sz w:val="20"/>
        </w:rPr>
        <w:t>Pull the business case forward from the Gate 1 Decision Record, the locked scope from the Gate 2 Decision Record, and the cost, schedule, and score from the Gate 3 Decision Record — this step summarizes and cross-references, it doesn't re-derive any of it. If pulling this together surfaces a real gap in the underlying package, go back and fix the source document, don't paper over it in the summary.</w:t>
      </w:r>
    </w:p>
    <w:p>
      <w:r>
        <w:rPr>
          <w:i/>
          <w:color w:val="1F2D3D"/>
          <w:sz w:val="18"/>
        </w:rPr>
        <w:t>→ Produces: Funding Package Summary</w:t>
      </w:r>
    </w:p>
    <w:p>
      <w:pPr>
        <w:spacing w:before="200"/>
      </w:pPr>
      <w:r>
        <w:rPr>
          <w:b/>
          <w:i w:val="0"/>
          <w:sz w:val="22"/>
        </w:rPr>
        <w:t>Step 2 — Request: state exactly what's being asked for, as a formal ask, not an implied one.</w:t>
      </w:r>
    </w:p>
    <w:p>
      <w:pPr>
        <w:spacing w:after="160"/>
      </w:pPr>
      <w:r>
        <w:rPr>
          <w:b w:val="0"/>
          <w:i w:val="0"/>
          <w:sz w:val="20"/>
        </w:rPr>
        <w:t>Name the exact dollar amount, the funding source, and the specific approval authority this request actually needs — a $200K decision and a $20M decision often don't go to the same body. State whether contingency is being requested as part of this authorization or held and released separately, and by whom.</w:t>
      </w:r>
    </w:p>
    <w:p>
      <w:r>
        <w:rPr>
          <w:i/>
          <w:color w:val="1F2D3D"/>
          <w:sz w:val="18"/>
        </w:rPr>
        <w:t>→ Produces: Capital Appropriation Request</w:t>
      </w:r>
    </w:p>
    <w:p>
      <w:pPr>
        <w:spacing w:before="200"/>
      </w:pPr>
      <w:r>
        <w:rPr>
          <w:b/>
          <w:i w:val="0"/>
          <w:sz w:val="22"/>
        </w:rPr>
        <w:t>Step 3 — Present: get the complete package in front of the body with actual authority to fund it.</w:t>
      </w:r>
    </w:p>
    <w:p>
      <w:pPr>
        <w:spacing w:after="160"/>
      </w:pPr>
      <w:r>
        <w:rPr>
          <w:b w:val="0"/>
          <w:i w:val="0"/>
          <w:sz w:val="20"/>
        </w:rPr>
        <w:t>Confirm every attachment the approving body will expect is actually in hand before the meeting is scheduled — a partial package is the fastest way to lose a decision cycle to "come back next month." Assign who presents which piece.</w:t>
      </w:r>
    </w:p>
    <w:p>
      <w:r>
        <w:rPr>
          <w:i/>
          <w:color w:val="1F2D3D"/>
          <w:sz w:val="18"/>
        </w:rPr>
        <w:t>→ Produces: Board/Committee Presentation Checklist</w:t>
      </w:r>
    </w:p>
    <w:p>
      <w:pPr>
        <w:spacing w:before="200"/>
      </w:pPr>
      <w:r>
        <w:rPr>
          <w:b/>
          <w:i w:val="0"/>
          <w:sz w:val="22"/>
        </w:rPr>
        <w:t>Step 4 — Resolve: log every question or condition raised, and close each one out before the vote is treated as final.</w:t>
      </w:r>
    </w:p>
    <w:p>
      <w:pPr>
        <w:spacing w:after="160"/>
      </w:pPr>
      <w:r>
        <w:rPr>
          <w:b w:val="0"/>
          <w:i w:val="0"/>
          <w:sz w:val="20"/>
        </w:rPr>
        <w:t>Write questions down as they're raised, with an owner and a due date, so "approved subject to" doesn't quietly become "approved" without anyone confirming the condition was actually met. A condition that can't be resolved before the vote needs to be named explicitly on the Gate 4 Decision Record.</w:t>
      </w:r>
    </w:p>
    <w:p>
      <w:r>
        <w:rPr>
          <w:i/>
          <w:color w:val="1F2D3D"/>
          <w:sz w:val="18"/>
        </w:rPr>
        <w:t>→ Produces: Conditions &amp; Follow-Up Items Log</w:t>
      </w:r>
    </w:p>
    <w:p>
      <w:pPr>
        <w:spacing w:before="200"/>
      </w:pPr>
      <w:r>
        <w:rPr>
          <w:b/>
          <w:i w:val="0"/>
          <w:sz w:val="22"/>
        </w:rPr>
        <w:t>Step 5 — Baseline: once approved, lock the authorized scope, cost, and schedule as the fixed point execution gets measured against.</w:t>
      </w:r>
    </w:p>
    <w:p>
      <w:pPr>
        <w:spacing w:after="160"/>
      </w:pPr>
      <w:r>
        <w:rPr>
          <w:b w:val="0"/>
          <w:i w:val="0"/>
          <w:sz w:val="20"/>
        </w:rPr>
        <w:t>The baseline is the specific scope, cost, and schedule figures the approving body actually authorized, cited back to the exact Phase 2/3 documents they came from. Set the Change Control Threshold here, not after execution starts.</w:t>
      </w:r>
    </w:p>
    <w:p>
      <w:r>
        <w:rPr>
          <w:i/>
          <w:color w:val="1F2D3D"/>
          <w:sz w:val="18"/>
        </w:rPr>
        <w:t>→ Produces: Project Baseline Record</w:t>
      </w:r>
    </w:p>
    <w:p>
      <w:pPr>
        <w:spacing w:before="200"/>
      </w:pPr>
      <w:r>
        <w:rPr>
          <w:b/>
          <w:i w:val="0"/>
          <w:sz w:val="22"/>
        </w:rPr>
        <w:t>Step 6 — Govern: name who owns execution and set the rules for change, before ground breaks.</w:t>
      </w:r>
    </w:p>
    <w:p>
      <w:pPr>
        <w:spacing w:after="160"/>
      </w:pPr>
      <w:r>
        <w:rPr>
          <w:b w:val="0"/>
          <w:i w:val="0"/>
          <w:sz w:val="20"/>
        </w:rPr>
        <w:t>Assign a project manager or owner's representative by name — "the team will figure it out" is not a governance structure. Define the decision authority matrix, the change order approval process, and the reporting cadence back to leadership.</w:t>
      </w:r>
    </w:p>
    <w:p>
      <w:r>
        <w:rPr>
          <w:i/>
          <w:color w:val="1F2D3D"/>
          <w:sz w:val="18"/>
        </w:rPr>
        <w:t>→ Produces: Execution Governance &amp; Change Control Charter</w:t>
      </w:r>
    </w:p>
    <w:p>
      <w:pPr>
        <w:spacing w:before="200"/>
      </w:pPr>
      <w:r>
        <w:rPr>
          <w:b/>
          <w:i w:val="0"/>
          <w:sz w:val="22"/>
        </w:rPr>
        <w:t>Step 7 — Decide: close Gate 4 with the actual approving body, formally, and hand a complete package to execution.</w:t>
      </w:r>
    </w:p>
    <w:p>
      <w:pPr>
        <w:spacing w:after="160"/>
      </w:pPr>
      <w:r>
        <w:rPr>
          <w:b w:val="0"/>
          <w:i w:val="0"/>
          <w:sz w:val="20"/>
        </w:rPr>
        <w:t>The Gate 4 Decision Record captures the funding decision itself — approved, approved with conditions, deferred, or declined — along with the authorized amount, the score it was authorized against, and any conditions attached. This is the last gate. Execution inherits the Funding Package Summary, the Project Baseline Record, and the Execution Governance &amp; Change Control Charter — not the full Phase 1-3 archive re-read from scratch.</w:t>
      </w:r>
    </w:p>
    <w:p>
      <w:r>
        <w:rPr>
          <w:i/>
          <w:color w:val="1F2D3D"/>
          <w:sz w:val="18"/>
        </w:rPr>
        <w:t>→ Produces: Gate 4 Decision Record</w:t>
      </w:r>
    </w:p>
    <w:p>
      <w:pPr>
        <w:spacing w:before="280" w:after="120"/>
        <w:pBdr>
          <w:bottom w:val="single" w:sz="6" w:space="2" w:color="B8862E"/>
        </w:pBdr>
      </w:pPr>
      <w:r>
        <w:rPr>
          <w:b/>
          <w:color w:val="1F2D3D"/>
          <w:sz w:val="26"/>
        </w:rPr>
        <w:t>Forms for This Phase</w:t>
      </w:r>
    </w:p>
    <w:p>
      <w:pPr>
        <w:spacing w:after="160"/>
      </w:pPr>
      <w:r>
        <w:rPr>
          <w:b w:val="0"/>
          <w:i w:val="0"/>
          <w:sz w:val="19"/>
        </w:rPr>
        <w:t>Each form below is a separate, standalone document in this phase's Forms folder — fill them in as you go through the steps above.</w:t>
      </w:r>
    </w:p>
    <w:p>
      <w:pPr>
        <w:spacing w:after="60"/>
      </w:pPr>
      <w:r>
        <w:rPr>
          <w:b/>
          <w:sz w:val="19"/>
        </w:rPr>
        <w:t xml:space="preserve">Funding Package Summary — </w:t>
      </w:r>
      <w:r>
        <w:rPr>
          <w:sz w:val="19"/>
        </w:rPr>
        <w:t>The single document a board member can read cover-to-cover.</w:t>
      </w:r>
    </w:p>
    <w:p>
      <w:pPr>
        <w:spacing w:after="60"/>
      </w:pPr>
      <w:r>
        <w:rPr>
          <w:b/>
          <w:sz w:val="19"/>
        </w:rPr>
        <w:t xml:space="preserve">Capital Appropriation Request — </w:t>
      </w:r>
      <w:r>
        <w:rPr>
          <w:sz w:val="19"/>
        </w:rPr>
        <w:t>The formal ask — amount, source, and approval authority needed.</w:t>
      </w:r>
    </w:p>
    <w:p>
      <w:pPr>
        <w:spacing w:after="60"/>
      </w:pPr>
      <w:r>
        <w:rPr>
          <w:b/>
          <w:sz w:val="19"/>
        </w:rPr>
        <w:t xml:space="preserve">Board/Committee Presentation Checklist — </w:t>
      </w:r>
      <w:r>
        <w:rPr>
          <w:sz w:val="19"/>
        </w:rPr>
        <w:t>Confirms every expected attachment is in hand, and who presents it.</w:t>
      </w:r>
    </w:p>
    <w:p>
      <w:pPr>
        <w:spacing w:after="60"/>
      </w:pPr>
      <w:r>
        <w:rPr>
          <w:b/>
          <w:sz w:val="19"/>
        </w:rPr>
        <w:t xml:space="preserve">Conditions &amp; Follow-Up Items Log — </w:t>
      </w:r>
      <w:r>
        <w:rPr>
          <w:sz w:val="19"/>
        </w:rPr>
        <w:t>Every condition raised during approval, with an owner and due date.</w:t>
      </w:r>
    </w:p>
    <w:p>
      <w:pPr>
        <w:spacing w:after="60"/>
      </w:pPr>
      <w:r>
        <w:rPr>
          <w:b/>
          <w:sz w:val="19"/>
        </w:rPr>
        <w:t xml:space="preserve">Project Baseline Record — </w:t>
      </w:r>
      <w:r>
        <w:rPr>
          <w:sz w:val="19"/>
        </w:rPr>
        <w:t>The authorized scope, cost, and schedule — the fixed point for variance.</w:t>
      </w:r>
    </w:p>
    <w:p>
      <w:pPr>
        <w:spacing w:after="60"/>
      </w:pPr>
      <w:r>
        <w:rPr>
          <w:b/>
          <w:sz w:val="19"/>
        </w:rPr>
        <w:t xml:space="preserve">Execution Governance &amp; Change Control Charter — </w:t>
      </w:r>
      <w:r>
        <w:rPr>
          <w:sz w:val="19"/>
        </w:rPr>
        <w:t>Who owns execution, and the rules for change, before ground breaks.</w:t>
      </w:r>
    </w:p>
    <w:p>
      <w:pPr>
        <w:spacing w:after="60"/>
      </w:pPr>
      <w:r>
        <w:rPr>
          <w:b/>
          <w:sz w:val="19"/>
        </w:rPr>
        <w:t xml:space="preserve">Gate 4 Decision Record — </w:t>
      </w:r>
      <w:r>
        <w:rPr>
          <w:sz w:val="19"/>
        </w:rPr>
        <w:t>The artifact that closes the Facility Readiness Framework.</w:t>
      </w:r>
    </w:p>
    <w:p>
      <w:pPr>
        <w:spacing w:before="0" w:after="0"/>
        <w:rPr>
          <w:sz w:val="2"/>
        </w:rPr>
      </w:pPr>
    </w:p>
    <w:sectPr w:rsidR="00FC693F" w:rsidRPr="0006063C" w:rsidSect="00034616">
      <w:footerReference w:type="default" r:id="rId9"/>
      <w:pgSz w:w="12240" w:h="15840"/>
      <w:pgMar w:top="1008" w:right="1296" w:bottom="1008" w:left="1296" w:header="720"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Bdr>
        <w:top w:val="single" w:sz="4" w:space="4" w:color="CCCCCC"/>
      </w:pBdr>
    </w:pPr>
    <w:r/>
    <w:r>
      <w:rPr>
        <w:color w:val="555555"/>
        <w:sz w:val="17"/>
      </w:rPr>
      <w:t>Veritas Concept Engineering  ·  Robin Owens  ·  www.veritasconcept.com</w:t>
    </w:r>
  </w:p>
  <w:p>
    <w:pPr>
      <w:jc w:val="center"/>
    </w:pPr>
    <w:r>
      <w:rPr>
        <w:i/>
        <w:color w:val="555555"/>
        <w:sz w:val="16"/>
      </w:rPr>
      <w:t>Part of the Facility Readiness Framework (FRF) — free for public use. Download, adapt, and use for your own capital-project planning.</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