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Commit the Money</w:t>
      </w:r>
    </w:p>
    <w:p>
      <w:pPr>
        <w:spacing w:after="240"/>
      </w:pPr>
      <w:r>
        <w:rPr>
          <w:i/>
          <w:color w:val="B8862E"/>
          <w:sz w:val="24"/>
        </w:rPr>
        <w:t>Facility Readiness Framework — Phase 4 of 4</w:t>
      </w:r>
    </w:p>
    <w:p>
      <w:pPr>
        <w:spacing w:after="160"/>
      </w:pPr>
      <w:r>
        <w:rPr>
          <w:b w:val="0"/>
          <w:i w:val="0"/>
          <w:sz w:val="21"/>
        </w:rPr>
        <w:t>The complete package from Phases 1-3 — business case, locked scope, and proven numbers with a scored Facility Readiness Score — goes in front of whichever body actually has authority to commit capital. Phase 4 doesn't add any new score categories; its job is to compile the existing package into a funding-ready form, get it formally authorized, and set up the structure execution runs against. The score is reconfirmed here, not recalculated — a material change since Gate 3 sends that work back to its source phase and updates the score before this gate.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4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Funding Committed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ACCOUNTABLE</w:t>
            </w:r>
          </w:p>
          <w:p>
            <w:pPr>
              <w:spacing w:after="40"/>
            </w:pPr>
            <w:r>
              <w:rPr>
                <w:b/>
                <w:i w:val="0"/>
                <w:sz w:val="20"/>
              </w:rPr>
              <w:t>Board, council, or executive leadership — whoever's actual signature releases the money</w:t>
            </w:r>
          </w:p>
        </w:tc>
      </w:tr>
      <w:tr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GATE QUESTION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Has the appropriate governing body formally authorized the capital, and is there a locked baseline and a named owner for execution?</w:t>
            </w:r>
          </w:p>
        </w:tc>
        <w:tc>
          <w:tcPr>
            <w:tcW w:type="dxa" w:w="4824"/>
            <w:shd w:val="clear" w:color="auto" w:fill="F7F7F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40"/>
            </w:pPr>
            <w:r>
              <w:rPr>
                <w:b/>
                <w:color w:val="B8862E"/>
                <w:sz w:val="16"/>
              </w:rPr>
              <w:t>WHAT ACTUALLY GETS SKIPPED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A project correctly planned through Phases 1-3 gets funded on a verbal go-ahead instead of a formal appropriation with a real baseline — leaving no fixed point to measure overruns against once execution starts.</w:t>
            </w:r>
          </w:p>
        </w:tc>
      </w:tr>
    </w:tbl>
    <w:p>
      <w:pPr>
        <w:spacing w:after="80"/>
      </w:pP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Running the Gate</w:t>
      </w:r>
    </w:p>
    <w:p>
      <w:pPr>
        <w:spacing w:after="160"/>
      </w:pPr>
      <w:r>
        <w:rPr>
          <w:b w:val="0"/>
          <w:i w:val="0"/>
          <w:sz w:val="19"/>
        </w:rPr>
        <w:t>Steps in order, facilitated by you or the owner's project lead. Each form named below is its own standalone document in this phase's Forms folder.</w:t>
      </w:r>
    </w:p>
    <w:p>
      <w:pPr>
        <w:spacing w:before="160" w:after="40"/>
      </w:pPr>
      <w:r>
        <w:rPr>
          <w:b/>
          <w:color w:val="B8862E"/>
        </w:rPr>
        <w:t xml:space="preserve">1.  </w:t>
      </w:r>
      <w:r>
        <w:rPr>
          <w:b/>
          <w:i w:val="0"/>
          <w:sz w:val="22"/>
        </w:rPr>
        <w:t>Assemble — compile the package into one funding-ready summary</w:t>
      </w:r>
    </w:p>
    <w:p>
      <w:pPr>
        <w:spacing w:after="40"/>
        <w:ind w:left="360"/>
      </w:pPr>
      <w:r>
        <w:rPr>
          <w:b w:val="0"/>
          <w:i w:val="0"/>
          <w:sz w:val="20"/>
        </w:rPr>
        <w:t>Pull the business case, locked scope, and cost/schedule/score forward from the Gate 1-3 Decision Records. This step summarizes and cross-references; it doesn't re-derive anything.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Funding Package Summary</w:t>
      </w:r>
    </w:p>
    <w:p>
      <w:pPr>
        <w:spacing w:before="160" w:after="40"/>
      </w:pPr>
      <w:r>
        <w:rPr>
          <w:b/>
          <w:color w:val="B8862E"/>
        </w:rPr>
        <w:t xml:space="preserve">2.  </w:t>
      </w:r>
      <w:r>
        <w:rPr>
          <w:b/>
          <w:i w:val="0"/>
          <w:sz w:val="22"/>
        </w:rPr>
        <w:t>Request — state exactly what's being asked for</w:t>
      </w:r>
    </w:p>
    <w:p>
      <w:pPr>
        <w:spacing w:after="40"/>
        <w:ind w:left="360"/>
      </w:pPr>
      <w:r>
        <w:rPr>
          <w:b w:val="0"/>
          <w:i w:val="0"/>
          <w:sz w:val="20"/>
        </w:rPr>
        <w:t>Name the exact dollar amount, the funding source, and the specific approval authority this request needs. State whether contingency is part of this authorization or released separately.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Capital Appropriation Request</w:t>
      </w:r>
    </w:p>
    <w:p>
      <w:pPr>
        <w:spacing w:before="160" w:after="40"/>
      </w:pPr>
      <w:r>
        <w:rPr>
          <w:b/>
          <w:color w:val="B8862E"/>
        </w:rPr>
        <w:t xml:space="preserve">3.  </w:t>
      </w:r>
      <w:r>
        <w:rPr>
          <w:b/>
          <w:i w:val="0"/>
          <w:sz w:val="22"/>
        </w:rPr>
        <w:t>Present — get the complete package in front of the body with actual authority</w:t>
      </w:r>
    </w:p>
    <w:p>
      <w:pPr>
        <w:spacing w:after="40"/>
        <w:ind w:left="360"/>
      </w:pPr>
      <w:r>
        <w:rPr>
          <w:b w:val="0"/>
          <w:i w:val="0"/>
          <w:sz w:val="20"/>
        </w:rPr>
        <w:t>Confirm every attachment is in hand before the meeting is scheduled. Assign who presents which piece.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Board/Committee Presentation Checklist</w:t>
      </w:r>
    </w:p>
    <w:p>
      <w:pPr>
        <w:spacing w:before="160" w:after="40"/>
      </w:pPr>
      <w:r>
        <w:rPr>
          <w:b/>
          <w:color w:val="B8862E"/>
        </w:rPr>
        <w:t xml:space="preserve">4.  </w:t>
      </w:r>
      <w:r>
        <w:rPr>
          <w:b/>
          <w:i w:val="0"/>
          <w:sz w:val="22"/>
        </w:rPr>
        <w:t>Resolve — log every question or condition raised</w:t>
      </w:r>
    </w:p>
    <w:p>
      <w:pPr>
        <w:spacing w:after="40"/>
        <w:ind w:left="360"/>
      </w:pPr>
      <w:r>
        <w:rPr>
          <w:b w:val="0"/>
          <w:i w:val="0"/>
          <w:sz w:val="20"/>
        </w:rPr>
        <w:t>Write down questions as they're raised, with an owner and a due date, so "approved subject to" doesn't quietly become "approved" unchecked.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Conditions &amp; Follow-Up Items Log</w:t>
      </w:r>
    </w:p>
    <w:p>
      <w:pPr>
        <w:spacing w:before="160" w:after="40"/>
      </w:pPr>
      <w:r>
        <w:rPr>
          <w:b/>
          <w:color w:val="B8862E"/>
        </w:rPr>
        <w:t xml:space="preserve">5.  </w:t>
      </w:r>
      <w:r>
        <w:rPr>
          <w:b/>
          <w:i w:val="0"/>
          <w:sz w:val="22"/>
        </w:rPr>
        <w:t>Baseline — lock the authorized scope, cost, and schedule</w:t>
      </w:r>
    </w:p>
    <w:p>
      <w:pPr>
        <w:spacing w:after="40"/>
        <w:ind w:left="360"/>
      </w:pPr>
      <w:r>
        <w:rPr>
          <w:b w:val="0"/>
          <w:i w:val="0"/>
          <w:sz w:val="20"/>
        </w:rPr>
        <w:t>The fixed point execution is measured against — the figures actually authorized, cited back to the exact Phase 2/3 documents. Set the Change Control Threshold here, not after execution starts.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Project Baseline Record</w:t>
      </w:r>
    </w:p>
    <w:p>
      <w:pPr>
        <w:spacing w:before="160" w:after="40"/>
      </w:pPr>
      <w:r>
        <w:rPr>
          <w:b/>
          <w:color w:val="B8862E"/>
        </w:rPr>
        <w:t xml:space="preserve">6.  </w:t>
      </w:r>
      <w:r>
        <w:rPr>
          <w:b/>
          <w:i w:val="0"/>
          <w:sz w:val="22"/>
        </w:rPr>
        <w:t>Govern — name who owns execution and set the rules for change</w:t>
      </w:r>
    </w:p>
    <w:p>
      <w:pPr>
        <w:spacing w:after="40"/>
        <w:ind w:left="360"/>
      </w:pPr>
      <w:r>
        <w:rPr>
          <w:b w:val="0"/>
          <w:i w:val="0"/>
          <w:sz w:val="20"/>
        </w:rPr>
        <w:t>Assign a project manager or owner's representative by name. Define the decision authority matrix, change order approval process, and reporting cadence.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Execution Governance &amp; Change Control Charter</w:t>
      </w:r>
    </w:p>
    <w:p>
      <w:pPr>
        <w:spacing w:before="160" w:after="40"/>
      </w:pPr>
      <w:r>
        <w:rPr>
          <w:b/>
          <w:color w:val="B8862E"/>
        </w:rPr>
        <w:t xml:space="preserve">7.  </w:t>
      </w:r>
      <w:r>
        <w:rPr>
          <w:b/>
          <w:i w:val="0"/>
          <w:sz w:val="22"/>
        </w:rPr>
        <w:t>Decide — close Gate 4 with the approving body, formally</w:t>
      </w:r>
    </w:p>
    <w:p>
      <w:pPr>
        <w:spacing w:after="40"/>
        <w:ind w:left="360"/>
      </w:pPr>
      <w:r>
        <w:rPr>
          <w:b w:val="0"/>
          <w:i w:val="0"/>
          <w:sz w:val="20"/>
        </w:rPr>
        <w:t>Captures the funding decision — approved, approved with conditions, deferred, or declined — the authorized amount, and the score it was authorized against.</w:t>
      </w:r>
    </w:p>
    <w:p>
      <w:pPr>
        <w:spacing w:after="120"/>
        <w:ind w:left="360"/>
      </w:pPr>
      <w:r>
        <w:rPr>
          <w:i/>
          <w:color w:val="1F2D3D"/>
          <w:sz w:val="18"/>
        </w:rPr>
        <w:t>→ Form: Gate 4 Decision Record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The Forms for This Phase</w:t>
      </w:r>
    </w:p>
    <w:p>
      <w:pPr>
        <w:spacing w:after="60"/>
      </w:pPr>
      <w:r>
        <w:rPr>
          <w:b/>
          <w:sz w:val="19"/>
        </w:rPr>
        <w:t xml:space="preserve">Funding Package Summary — </w:t>
      </w:r>
      <w:r>
        <w:rPr>
          <w:sz w:val="19"/>
        </w:rPr>
        <w:t>The single document a board member can read cover-to-cover.</w:t>
      </w:r>
    </w:p>
    <w:p>
      <w:pPr>
        <w:spacing w:after="60"/>
      </w:pPr>
      <w:r>
        <w:rPr>
          <w:b/>
          <w:sz w:val="19"/>
        </w:rPr>
        <w:t xml:space="preserve">Capital Appropriation Request — </w:t>
      </w:r>
      <w:r>
        <w:rPr>
          <w:sz w:val="19"/>
        </w:rPr>
        <w:t>The formal ask — amount, source, and approval authority needed.</w:t>
      </w:r>
    </w:p>
    <w:p>
      <w:pPr>
        <w:spacing w:after="60"/>
      </w:pPr>
      <w:r>
        <w:rPr>
          <w:b/>
          <w:sz w:val="19"/>
        </w:rPr>
        <w:t xml:space="preserve">Board/Committee Presentation Checklist — </w:t>
      </w:r>
      <w:r>
        <w:rPr>
          <w:sz w:val="19"/>
        </w:rPr>
        <w:t>Confirms every expected attachment is in hand, and who presents it.</w:t>
      </w:r>
    </w:p>
    <w:p>
      <w:pPr>
        <w:spacing w:after="60"/>
      </w:pPr>
      <w:r>
        <w:rPr>
          <w:b/>
          <w:sz w:val="19"/>
        </w:rPr>
        <w:t xml:space="preserve">Conditions &amp; Follow-Up Items Log — </w:t>
      </w:r>
      <w:r>
        <w:rPr>
          <w:sz w:val="19"/>
        </w:rPr>
        <w:t>Every condition raised during approval, with an owner and due date.</w:t>
      </w:r>
    </w:p>
    <w:p>
      <w:pPr>
        <w:spacing w:after="60"/>
      </w:pPr>
      <w:r>
        <w:rPr>
          <w:b/>
          <w:sz w:val="19"/>
        </w:rPr>
        <w:t xml:space="preserve">Project Baseline Record — </w:t>
      </w:r>
      <w:r>
        <w:rPr>
          <w:sz w:val="19"/>
        </w:rPr>
        <w:t>The authorized scope, cost, and schedule — the fixed point for variance.</w:t>
      </w:r>
    </w:p>
    <w:p>
      <w:pPr>
        <w:spacing w:after="60"/>
      </w:pPr>
      <w:r>
        <w:rPr>
          <w:b/>
          <w:sz w:val="19"/>
        </w:rPr>
        <w:t xml:space="preserve">Execution Governance &amp; Change Control Charter — </w:t>
      </w:r>
      <w:r>
        <w:rPr>
          <w:sz w:val="19"/>
        </w:rPr>
        <w:t>Who owns execution, and the rules for change, before ground breaks.</w:t>
      </w:r>
    </w:p>
    <w:p>
      <w:pPr>
        <w:spacing w:after="60"/>
      </w:pPr>
      <w:r>
        <w:rPr>
          <w:b/>
          <w:sz w:val="19"/>
        </w:rPr>
        <w:t xml:space="preserve">Gate 4 Decision Record — </w:t>
      </w:r>
      <w:r>
        <w:rPr>
          <w:sz w:val="19"/>
        </w:rPr>
        <w:t>The artifact that closes the Facility Readiness Framework.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FBF4E4"/>
            <w:tcBorders>
              <w:top w:sz="4" w:val="single" w:color="B8862E"/>
              <w:left w:sz="4" w:val="single" w:color="B8862E"/>
              <w:bottom w:sz="4" w:val="single" w:color="B8862E"/>
              <w:right w:sz="4" w:val="single" w:color="B8862E"/>
            </w:tcBorders>
          </w:tcPr>
          <w:p>
            <w:r>
              <w:rPr>
                <w:b w:val="0"/>
                <w:i/>
                <w:sz w:val="19"/>
              </w:rPr>
              <w:t>This is the last gate in the Facility Readiness Framework. Execution inherits the Funding Package Summary, the Project Baseline Record, and the Execution Governance &amp; Change Control Charter — not the full Phase 1-3 archive re-read from scratch.</w:t>
            </w:r>
          </w:p>
        </w:tc>
      </w:tr>
    </w:tbl>
    <w:p>
      <w:pPr>
        <w:spacing w:after="80"/>
      </w:pPr>
    </w:p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