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B5892B"/>
          <w:sz w:val="18"/>
          <w:szCs w:val="18"/>
        </w:rPr>
        <w:t xml:space="preserve">VERITAS CONCEPT ENGINEERING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Facilities Planning Consulting — Robin Owens</w:t>
      </w:r>
    </w:p>
    <w:p>
      <w:pPr>
        <w:pStyle w:val="Title"/>
        <w:spacing w:after="100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FRF Phase 4 — Worked Example</w:t>
      </w:r>
    </w:p>
    <w:p>
      <w:pPr>
        <w:spacing w:after="300"/>
      </w:pPr>
      <w:r>
        <w:rPr>
          <w:rFonts w:ascii="Calibri" w:cs="Calibri" w:eastAsia="Calibri" w:hAnsi="Calibri"/>
          <w:i/>
          <w:iCs/>
          <w:color w:val="555555"/>
          <w:sz w:val="22"/>
          <w:szCs w:val="22"/>
        </w:rPr>
        <w:t xml:space="preserve">Illustrative sample data for all seven Phase 4 templates</w:t>
      </w:r>
    </w:p>
    <w:p>
      <w:pPr>
        <w:spacing w:after="12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This shows Phase 4 filled in, not blank — the closing chapter of the same fictional company used in the Phase 1, Phase 2 Step 1, and Phase 3 Worked Examples. It picks up immediately after the (fictional) Gate 3 Decision Record: scope locked, a $965,000 cost estimate built from real quotes, and an honest 87/100 FRS score. Sample answers are shown in navy to distinguish them from the actual blank Facilitator Guide.</w:t>
      </w:r>
    </w:p>
    <w:p>
      <w:pPr>
        <w:spacing w:after="12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Notice how Phase 4 doesn't re-litigate anything — it compiles. The Funding Package Summary pulls one line from each of the Gate 1, Gate 2, and Gate 3 Decision Records rather than restating the underlying analysis, and every other template either cites a specific Phase 2/3 document or adds something genuinely new to this phase: a formal dollar ask with a named approval authority, a log of real conditions raised and closed before the vote, a locked baseline with an explicit Change Control Threshold, and a governance charter that names an actual person as Project Manager instead of leaving execution ownership implicit.</w:t>
      </w:r>
    </w:p>
    <w:p>
      <w:pPr>
        <w:spacing w:after="16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The numbers stay consistent with the Phase 3 example rather than getting rounded off: the $965,000 project budget and $45,000 contingency reserve are exactly what the fictional Gate 3 Decision Record authorized, and the 87/100 FRS score carries forward unchanged — Phase 4 doesn't re-score the project, it acts on the score Phase 3 already produced.</w:t>
      </w:r>
    </w:p>
    <w:p>
      <w:pPr>
        <w:spacing w:after="80" w:before="26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1. Funding Package Summary — filled example</w:t>
      </w:r>
    </w:p>
    <w:p>
      <w:pPr>
        <w:spacing w:after="140" w:line="264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One document a board or ELT member could read cover-to-cover — every field here traces back to a specific Gate 1, 2, or 3 Decision Record, not restated from memory.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300"/>
      </w:tblGrid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Project / Initiative Name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SMT Assembly &amp; Test Line Expansion — Building 2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Requesting Department / Sponsor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Operations, sponsored by the Chief Operating Officer (Executive Sponsor since Gate 1)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Total Capital Requested ($)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$1,010,000 — $965,000 project budget plus a $45,000 contingency reserve held separately by the CFO, per the Gate 3 Decision Record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FRS Total Score / Threshold Band (from Phase 3)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>87 / 100 — Gate 3 Approved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Business Case Summary (from Phase 1 Gate 1 Decision Record)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SMT Line 2 running at 88% utilization on 2nd shift; two lost/declined RFQs and a top-5 account at risk from lead-time constraints, an estimated $180,000/month in unbilled capacity. Directly supports the 2026-2028 Growth Plan's contract-manufacturer strategy.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Selected Scope &amp; Layout Summary (from Phase 2 Gate 2 Decision Record)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Alternative B — SMT Line 3 sited north end of Building 2 in line with Kitting and Reflow/AOI; Functional Test Lab expansion physically separated from the SMT floor for ESD/vibration isolation. 18,500 GSF addition/reconfiguration; 8 net-new machines/stations.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Cost &amp; Schedule Basis Summary (from Phase 3 Gate 3 Decision Record)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$965,000 total installed cost, built from firm vendor quotes for the largest line item (equipment) and GC budgetary numbers for construction. 10-month schedule: Design Development Oct-Dec 2026 through Occupancy/Ramp-Up complete Aug 2027. Pick-and-place system's 22-week lead time is the schedule-critical path.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Top 3 Risks Carried Forward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1. Pick-and-place delivery slips past the 22-week quoted lead time (Schedule, High Impact).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2. 208V/3-phase utility service upgrade needs a utility-scheduled outage (Schedule, Medium Impact).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3. Production disruption to existing SMT Lines 1-2 during construction tie-in (Technical/Operational, High Impact).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Recommendation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Approve full funding as requested. The scope is locked, the cost estimate is quote-based, and the two highest risks (equipment lead time, tie-in disruption) already have named owners and stated mitigations on the Phase 3 Risk Register — proceeding now protects the 22-week equipment lead time against further slippage.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Prepared By / Date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R. Owens, Veritas Concept Engineering / September 2026</w:t>
            </w:r>
          </w:p>
        </w:tc>
      </w:tr>
    </w:tbl>
    <w:p>
      <w:pPr>
        <w:spacing w:after="80" w:before="26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2. Capital Appropriation Request — filled example</w:t>
      </w:r>
    </w:p>
    <w:p>
      <w:pPr>
        <w:spacing w:after="140" w:line="264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The formal ask, stated as a request — including why this dollar amount needs Executive Leadership Team approval even though it's within the COO's individual authorization ceiling.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300"/>
      </w:tblGrid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Amount Requested ($)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$1,010,000 total ($965,000 project budget + $45,000 CFO-held contingency reserve)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Funding Source(s) — operating capital, debt financing, reserve, other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Company's FY2027 Capital Expenditure budget — internally funded from operating capital; no external financing required.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Approval Authority Required — who/what body's sign-off this dollar level actually needs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Executive Leadership Team (ELT). Company policy routes any single capital request over $750,000 to ELT for a formal vote, even though the amount is within the COO's individual $1.5M authorization ceiling established at Gate 1.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Prior Gate Approvals on File — Gate 1 / Gate 2 / Gate 3 dates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Gate 1 (Need Validated): approved [date]. Gate 2 (Scope Locked): approved August 18, 2026. Gate 3 (Numbers Proven): approved September 2026, FRS 87/100.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Contingency Requested Separately? (Y/N, amount, and who controls release of it)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Yes — $45,000, held by the CFO outside the $965,000 project budget line item. Released only against a documented cost overrun tied to a specific Risk Register item, not merged into the project budget by default.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Requested Decision Date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Early October 2026 ELT meeting — timed to authorize the pick-and-place system's purchase order before the vendor's 90-day quote hold expires and to keep the October 2026 Design Development start on schedule.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Prepared By / Date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R. Owens, Veritas Concept Engineering / September 2026</w:t>
            </w:r>
          </w:p>
        </w:tc>
      </w:tr>
    </w:tbl>
    <w:p>
      <w:pPr>
        <w:spacing w:after="80" w:before="26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3. Board / Committee Presentation Checklist — filled example</w:t>
      </w:r>
    </w:p>
    <w:p>
      <w:pPr>
        <w:spacing w:after="140" w:line="264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A completeness check, not a content summary — confirms every piece of the Phase 1-3 package is actually attached and assigns who presents each piece.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200"/>
        <w:gridCol w:w="2000"/>
        <w:gridCol w:w="2600"/>
      </w:tblGrid>
      <w:tr>
        <w:trPr>
          <w:cantSplit/>
          <w:tblHeader/>
        </w:trPr>
        <w:tc>
          <w:tcPr>
            <w:tcW w:type="dxa" w:w="32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12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Attached?</w:t>
            </w:r>
          </w:p>
        </w:tc>
        <w:tc>
          <w:tcPr>
            <w:tcW w:type="dxa" w:w="20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Presenter</w:t>
            </w:r>
          </w:p>
        </w:tc>
        <w:tc>
          <w:tcPr>
            <w:tcW w:type="dxa" w:w="26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Funding Package Summary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Yes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R. Owens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Covers scope, layout, and recommendation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Capital Appropriation Request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Yes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CFO / Finance Lead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States the exact ask and required authority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Gate 1 Decision Record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Yes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COO (Executive Sponsor)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Business case origin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Gate 2 Decision Record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Yes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R. Owens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Locked scope and layout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Gate 3 Decision Record &amp; FRS Scoring Summary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Yes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CFO / Finance Lead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>87/100, Gate 3 Approved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Cost Estimate Summary (Phase 3)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Yes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CFO / Finance Lead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$965,000, category-by-category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Schedule Summary &amp; Long-Lead Items Worksheet (Phase 3)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Yes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Facilities Director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Pick-and-place lead time flagged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Risk Register &amp; Key Assumptions (Phase 3)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Yes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Facilities Director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6 risks, all with named owners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Delivery &amp; Procurement Strategy Worksheet (Phase 3)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Yes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Facilities Director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Design-Bid-Build + sole-source equipment</w:t>
            </w:r>
          </w:p>
        </w:tc>
      </w:tr>
    </w:tbl>
    <w:p>
      <w:pPr>
        <w:spacing w:after="80" w:before="26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4. Conditions &amp; Follow-Up Items Log — filled example</w:t>
      </w:r>
    </w:p>
    <w:p>
      <w:pPr>
        <w:spacing w:after="140" w:line="264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Three real conditions raised during the presentation, each closed out with a named owner before the vote — plus one genuinely still-open item (FF&amp;E vendor selection) that's tracked here but correctly NOT listed as a condition of approval on the Gate 4 Decision Record below.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300"/>
        <w:gridCol w:w="2800"/>
        <w:gridCol w:w="1100"/>
        <w:gridCol w:w="900"/>
        <w:gridCol w:w="900"/>
      </w:tblGrid>
      <w:tr>
        <w:trPr>
          <w:cantSplit/>
          <w:tblHeader/>
        </w:trPr>
        <w:tc>
          <w:tcPr>
            <w:tcW w:type="dxa" w:w="20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Item Raised</w:t>
            </w:r>
          </w:p>
        </w:tc>
        <w:tc>
          <w:tcPr>
            <w:tcW w:type="dxa" w:w="13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Raised By</w:t>
            </w:r>
          </w:p>
        </w:tc>
        <w:tc>
          <w:tcPr>
            <w:tcW w:type="dxa" w:w="28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Response / Resolution</w:t>
            </w:r>
          </w:p>
        </w:tc>
        <w:tc>
          <w:tcPr>
            <w:tcW w:type="dxa" w:w="11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Owner</w:t>
            </w:r>
          </w:p>
        </w:tc>
        <w:tc>
          <w:tcPr>
            <w:tcW w:type="dxa" w:w="9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dxa" w:w="9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Due Date</w:t>
            </w:r>
          </w:p>
        </w:tc>
      </w:tr>
      <w:tr>
        <w:trPr>
          <w:cantSplit/>
        </w:trPr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Confirm the utility company's 208V service-upgrade timeline before committing to the Oct 2026 Design Development start</w:t>
            </w:r>
          </w:p>
        </w:tc>
        <w:tc>
          <w:tcPr>
            <w:tcW w:type="dxa" w:w="13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CFO</w:t>
            </w:r>
          </w:p>
        </w:tc>
        <w:tc>
          <w:tcPr>
            <w:tcW w:type="dxa" w:w="2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Utility coordination meeting held Sept 22 — initial application confirmed accepted, 16-20 week estimate holds</w:t>
            </w:r>
          </w:p>
        </w:tc>
        <w:tc>
          <w:tcPr>
            <w:tcW w:type="dxa" w:w="11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Facilities Director</w:t>
            </w:r>
          </w:p>
        </w:tc>
        <w:tc>
          <w:tcPr>
            <w:tcW w:type="dxa" w:w="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Closed</w:t>
            </w:r>
          </w:p>
        </w:tc>
        <w:tc>
          <w:tcPr>
            <w:tcW w:type="dxa" w:w="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Sep 25 2026</w:t>
            </w:r>
          </w:p>
        </w:tc>
      </w:tr>
      <w:tr>
        <w:trPr>
          <w:cantSplit/>
        </w:trPr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Verify the pick-and-place vendor's quote is still valid given the time elapsed since the Cost Estimate Summary was prepared</w:t>
            </w:r>
          </w:p>
        </w:tc>
        <w:tc>
          <w:tcPr>
            <w:tcW w:type="dxa" w:w="13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CFO</w:t>
            </w:r>
          </w:p>
        </w:tc>
        <w:tc>
          <w:tcPr>
            <w:tcW w:type="dxa" w:w="2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Vendor reconfirmed pricing valid through December 2026, beyond the requested PO date</w:t>
            </w:r>
          </w:p>
        </w:tc>
        <w:tc>
          <w:tcPr>
            <w:tcW w:type="dxa" w:w="11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R. Owens</w:t>
            </w:r>
          </w:p>
        </w:tc>
        <w:tc>
          <w:tcPr>
            <w:tcW w:type="dxa" w:w="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Closed</w:t>
            </w:r>
          </w:p>
        </w:tc>
        <w:tc>
          <w:tcPr>
            <w:tcW w:type="dxa" w:w="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Sep 26 2026</w:t>
            </w:r>
          </w:p>
        </w:tc>
      </w:tr>
      <w:tr>
        <w:trPr>
          <w:cantSplit/>
        </w:trPr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Name the Project Manager / Owner's Representative before funds are released, not after</w:t>
            </w:r>
          </w:p>
        </w:tc>
        <w:tc>
          <w:tcPr>
            <w:tcW w:type="dxa" w:w="13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COO (ELT)</w:t>
            </w:r>
          </w:p>
        </w:tc>
        <w:tc>
          <w:tcPr>
            <w:tcW w:type="dxa" w:w="2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Facilities Director confirmed as Project Manager / Owner's Representative, effective on Gate 4 approval</w:t>
            </w:r>
          </w:p>
        </w:tc>
        <w:tc>
          <w:tcPr>
            <w:tcW w:type="dxa" w:w="11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Facilities Director</w:t>
            </w:r>
          </w:p>
        </w:tc>
        <w:tc>
          <w:tcPr>
            <w:tcW w:type="dxa" w:w="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Closed</w:t>
            </w:r>
          </w:p>
        </w:tc>
        <w:tc>
          <w:tcPr>
            <w:tcW w:type="dxa" w:w="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Oct 1 2026</w:t>
            </w:r>
          </w:p>
        </w:tc>
      </w:tr>
      <w:tr>
        <w:trPr>
          <w:cantSplit/>
        </w:trPr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Confirm FF&amp;E vendor selection is finalized before the Construction/Installation milestone</w:t>
            </w:r>
          </w:p>
        </w:tc>
        <w:tc>
          <w:tcPr>
            <w:tcW w:type="dxa" w:w="13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CFO</w:t>
            </w:r>
          </w:p>
        </w:tc>
        <w:tc>
          <w:tcPr>
            <w:tcW w:type="dxa" w:w="2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In progress — RFQ out to 3 vendors, decision due mid-November 2026</w:t>
            </w:r>
          </w:p>
        </w:tc>
        <w:tc>
          <w:tcPr>
            <w:tcW w:type="dxa" w:w="11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R. Owens</w:t>
            </w:r>
          </w:p>
        </w:tc>
        <w:tc>
          <w:tcPr>
            <w:tcW w:type="dxa" w:w="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Open</w:t>
            </w:r>
          </w:p>
        </w:tc>
        <w:tc>
          <w:tcPr>
            <w:tcW w:type="dxa" w:w="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Nov 15 2026</w:t>
            </w:r>
          </w:p>
        </w:tc>
      </w:tr>
    </w:tbl>
    <w:p>
      <w:pPr>
        <w:spacing w:after="80" w:before="26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5. Project Baseline Record — Scope, Cost &amp; Schedule — filled example</w:t>
      </w:r>
    </w:p>
    <w:p>
      <w:pPr>
        <w:spacing w:after="140" w:line="264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The specific authorized numbers, cited back to the exact Phase 2/3 documents — plus a Change Control Threshold stated in real dollar and schedule terms, not left as a vague "significant change" standard.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300"/>
      </w:tblGrid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Approved Total Project Cost ($)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$965,000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Approved Contingency ($ and %)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$45,000 (4.7% of total), held separately by the CFO — not part of the $965,000 baseline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Approved Completion Date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August 2027 (Occupancy/Ramp-Up complete)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Baseline Scope Reference — cite the exact Phase 2/3 documents this baseline is drawn from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Phase 2 Gate 2 Decision Record (Alternative B layout, 18,500 GSF, dated August 18, 2026); Phase 3 Cost Estimate Summary and Schedule Summary &amp; Long-Lead Items Worksheet (both dated September 2026)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Baseline Established Date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October 2026 (Gate 4 approval date)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Change Control Threshold — dollar amount and/or schedule slip that triggers mandatory re-approval, not a routine field decision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Any single change order exceeding $25,000, any cumulative change exceeding $75,000, or any schedule slip exceeding 3 weeks on a schedule-critical milestone (Design Development, Long-Lead Procurement, Construction/Installation) requires ELT re-approval before proceeding.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Prepared By / Date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R. Owens, Veritas Concept Engineering / October 2026</w:t>
            </w:r>
          </w:p>
        </w:tc>
      </w:tr>
    </w:tbl>
    <w:p>
      <w:pPr>
        <w:spacing w:after="80" w:before="26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6. Execution Governance &amp; Change Control Charter — filled example</w:t>
      </w:r>
    </w:p>
    <w:p>
      <w:pPr>
        <w:spacing w:after="140" w:line="264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A named Project Manager and a three-tier decision authority matrix — the Facilities Director can act alone on small changes, but the Change Control Threshold routes anything larger back to the body that actually approved the funding.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300"/>
      </w:tblGrid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Project Manager / Owner's Representative Assigned — Name, Title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[Name], Facilities Director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Decision Authority Matrix — who can approve what dollar level of change without going back to the Gate 4 approving body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Facilities Director (Project Manager): up to $10,000 without escalation.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CFO / Finance Lead: $10,001-$25,000.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Executive Leadership Team: required at or above the $25,000 single-change / $75,000 cumulative Change Control Threshold, or any schedule-critical slip beyond 3 weeks.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Change Order Approval Process — steps, required documentation, sign-offs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Facilities Director logs every proposed change on a Change Order Request tied to a specific Risk Register or Assumption item; CFO/Finance Lead reviews cost impact; sign-off required at the appropriate authority level above before work proceeds; every approved change updates the Project Baseline Record.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Reporting Cadence to Leadership — frequency, format, what triggers an out-of-cycle report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Monthly written status report to the CFO and COO — cost-to-date vs. baseline, schedule status vs. milestone dates, open Risk Register items. Immediate out-of-cycle report the same week the Change Control Threshold is approached, not just when it's crossed.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Escalation Path — who gets notified, in what order, if the Change Control Threshold is hit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Facilities Director → CFO/Finance Lead → COO (Executive Sponsor) → Executive Leadership Team, triggered automatically.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Prepared By / Date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R. Owens, Veritas Concept Engineering / October 2026</w:t>
            </w:r>
          </w:p>
        </w:tc>
      </w:tr>
    </w:tbl>
    <w:p>
      <w:pPr>
        <w:spacing w:after="80" w:before="26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7. Gate 4 Decision Record — filled example</w:t>
      </w:r>
    </w:p>
    <w:p>
      <w:pPr>
        <w:spacing w:after="140" w:line="264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The formal close of FRF for this project. Three separate approval lines, and a rationale that credits the resolved conditions and the still-open risks by name rather than a generic "looks good."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300"/>
      </w:tblGrid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Project / Initiative Name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SMT Assembly &amp; Test Line Expansion — Building 2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Total Capital Authorized ($)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$1,010,000 — $965,000 project budget + $45,000 CFO-held contingency reserve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>Facility Readiness Score — Carried from Gate 3 (out of 100)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87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>Reconfirmed at Gate 4 — No Material Change to Scope, Cost, Schedule, Risk, or Operational Assumptions Since Gate 3?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>Yes, reconfirmed as-is (this box checked) — no material change since the September 2026 Gate 3 decision.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>If Not Reconfirmed — What Changed, and Which Phase Was Reopened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>N/A — reconfirmed as-is.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Conditions Attached to This Approval (if any)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None outstanding at the time of the vote — the three conditions raised during presentation (utility timeline, vendor quote validity, Project Manager assignment) were resolved and closed beforehand. The open FF&amp;E vendor selection is tracked as a normal execution item on the Conditions &amp; Follow-Up Items Log, not a condition of this approval.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Decision — mark one: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☐ Approved, proceed to execution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☐ Approved with conditions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☐ Deferred — more information needed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☐ Declined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Approved, proceed to execution (this box checked)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Rationale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An 87/100 FRS score, a cost estimate grounded in firm vendor quotes, a named Project Manager, and a locked baseline with an explicit Change Control Threshold gave the ELT confidence to approve without further delay. The two risks still open on the Phase 3 Risk Register — utility scheduling and tie-in production disruption — are being actively managed under the Execution Governance &amp; Change Control Charter, not a reason to withhold funding.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Project Manager / Owner's Representative Assigned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[Name], Facilities Director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Baseline Established Date (from Project Baseline Record)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October 2026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Approved By — Board Chair / Executive Sponsor — Name, Title, Signature, Date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[Name], Chief Operating Officer (Executive Sponsor), [signature], [date]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Approved By — CFO / Finance Lead — Name, Title, Signature, Date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[Name], Chief Financial Officer, [signature], [date]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Approved By — Facilities Director — Name, Title, Signature, Date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[Name], Facilities Director, [signature], [date]</w:t>
            </w:r>
          </w:p>
        </w:tc>
      </w:tr>
    </w:tbl>
    <w:p>
      <w:pPr>
        <w:spacing w:before="0" w:after="0"/>
        <w:rPr>
          <w:sz w:val="2"/>
        </w:rPr>
      </w:pPr>
    </w:p>
    <w:sectPr>
      <w:footerReference w:type="default" r:id="rId8"/>
      <w:pgSz w:w="12240" w:h="15840" w:orient="portrait"/>
      <w:pgMar w:top="1080" w:right="1260" w:bottom="1080" w:left="1260" w:header="708" w:footer="28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888888"/>
        <w:sz w:val="18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2026-09-09T18:22:50.818Z</dcterms:created>
  <dcterms:modified xsi:type="dcterms:W3CDTF">2026-09-09T18:22:50.819Z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